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0642" w14:textId="77777777" w:rsidR="00EA27C5" w:rsidRPr="00102215" w:rsidRDefault="00C822AC" w:rsidP="00CC17A7">
      <w:pPr>
        <w:tabs>
          <w:tab w:val="center" w:pos="4536"/>
          <w:tab w:val="left" w:pos="7800"/>
        </w:tabs>
        <w:jc w:val="right"/>
        <w:rPr>
          <w:noProof/>
          <w:sz w:val="20"/>
          <w:highlight w:val="yellow"/>
        </w:rPr>
      </w:pPr>
      <w:r w:rsidRPr="00102215">
        <w:rPr>
          <w:noProof/>
          <w:highlight w:val="yellow"/>
        </w:rPr>
        <w:drawing>
          <wp:anchor distT="0" distB="0" distL="114300" distR="114300" simplePos="0" relativeHeight="251657728" behindDoc="0" locked="0" layoutInCell="1" allowOverlap="1" wp14:anchorId="1AA206A5" wp14:editId="1AA206A6">
            <wp:simplePos x="0" y="0"/>
            <wp:positionH relativeFrom="column">
              <wp:posOffset>2514600</wp:posOffset>
            </wp:positionH>
            <wp:positionV relativeFrom="paragraph">
              <wp:posOffset>0</wp:posOffset>
            </wp:positionV>
            <wp:extent cx="742950" cy="819150"/>
            <wp:effectExtent l="0" t="0" r="0" b="0"/>
            <wp:wrapSquare wrapText="left"/>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20643" w14:textId="77777777" w:rsidR="00EA27C5" w:rsidRPr="00102215" w:rsidRDefault="00EA27C5" w:rsidP="00CC17A7">
      <w:pPr>
        <w:tabs>
          <w:tab w:val="center" w:pos="4536"/>
          <w:tab w:val="left" w:pos="7800"/>
        </w:tabs>
        <w:jc w:val="right"/>
        <w:rPr>
          <w:b/>
          <w:noProof/>
          <w:highlight w:val="yellow"/>
        </w:rPr>
      </w:pPr>
      <w:r w:rsidRPr="00102215">
        <w:rPr>
          <w:b/>
          <w:noProof/>
          <w:highlight w:val="yellow"/>
        </w:rPr>
        <w:br w:type="textWrapping" w:clear="all"/>
      </w:r>
    </w:p>
    <w:p w14:paraId="1AA20644" w14:textId="77777777" w:rsidR="0061692B" w:rsidRPr="00102215" w:rsidRDefault="00EA27C5" w:rsidP="00CC17A7">
      <w:pPr>
        <w:jc w:val="center"/>
        <w:rPr>
          <w:noProof/>
          <w:spacing w:val="70"/>
          <w:sz w:val="40"/>
          <w:szCs w:val="40"/>
        </w:rPr>
      </w:pPr>
      <w:r w:rsidRPr="00102215">
        <w:rPr>
          <w:noProof/>
          <w:spacing w:val="70"/>
          <w:sz w:val="40"/>
          <w:szCs w:val="40"/>
        </w:rPr>
        <w:t>KOHTUMÄÄRUS</w:t>
      </w:r>
    </w:p>
    <w:p w14:paraId="1AA20645" w14:textId="77777777" w:rsidR="00000774" w:rsidRPr="00102215" w:rsidRDefault="00000774" w:rsidP="00CC17A7">
      <w:pPr>
        <w:jc w:val="center"/>
        <w:rPr>
          <w:noProof/>
          <w:sz w:val="12"/>
          <w:szCs w:val="12"/>
        </w:rPr>
      </w:pPr>
    </w:p>
    <w:tbl>
      <w:tblPr>
        <w:tblW w:w="9606" w:type="dxa"/>
        <w:tblLayout w:type="fixed"/>
        <w:tblLook w:val="0000" w:firstRow="0" w:lastRow="0" w:firstColumn="0" w:lastColumn="0" w:noHBand="0" w:noVBand="0"/>
      </w:tblPr>
      <w:tblGrid>
        <w:gridCol w:w="3528"/>
        <w:gridCol w:w="6078"/>
      </w:tblGrid>
      <w:tr w:rsidR="0061692B" w:rsidRPr="00102215" w14:paraId="1AA20648" w14:textId="77777777" w:rsidTr="00732832">
        <w:tc>
          <w:tcPr>
            <w:tcW w:w="3528" w:type="dxa"/>
          </w:tcPr>
          <w:p w14:paraId="1AA20646" w14:textId="77777777" w:rsidR="0061692B" w:rsidRPr="00102215" w:rsidRDefault="0061692B" w:rsidP="00EA1D4F">
            <w:pPr>
              <w:pStyle w:val="Pis"/>
              <w:spacing w:before="100" w:after="100"/>
              <w:rPr>
                <w:b/>
                <w:bCs/>
                <w:noProof/>
                <w:lang w:val="et-EE"/>
              </w:rPr>
            </w:pPr>
            <w:r w:rsidRPr="00102215">
              <w:rPr>
                <w:b/>
                <w:bCs/>
                <w:noProof/>
                <w:lang w:val="et-EE"/>
              </w:rPr>
              <w:t>Kohus</w:t>
            </w:r>
          </w:p>
        </w:tc>
        <w:tc>
          <w:tcPr>
            <w:tcW w:w="6078" w:type="dxa"/>
          </w:tcPr>
          <w:p w14:paraId="1AA20647" w14:textId="757EDC6C" w:rsidR="0061692B" w:rsidRPr="00102215" w:rsidRDefault="002450BB" w:rsidP="00EA1D4F">
            <w:pPr>
              <w:spacing w:before="100" w:after="100"/>
              <w:rPr>
                <w:noProof/>
              </w:rPr>
            </w:pPr>
            <w:r w:rsidRPr="00102215">
              <w:rPr>
                <w:noProof/>
              </w:rPr>
              <w:t>Harju Ma</w:t>
            </w:r>
            <w:r w:rsidR="0061692B" w:rsidRPr="00102215">
              <w:rPr>
                <w:noProof/>
              </w:rPr>
              <w:t>akohus</w:t>
            </w:r>
          </w:p>
        </w:tc>
      </w:tr>
      <w:tr w:rsidR="0061692B" w:rsidRPr="00102215" w14:paraId="1AA2064B" w14:textId="77777777" w:rsidTr="00732832">
        <w:tc>
          <w:tcPr>
            <w:tcW w:w="3528" w:type="dxa"/>
          </w:tcPr>
          <w:p w14:paraId="1AA20649" w14:textId="77777777" w:rsidR="0061692B" w:rsidRPr="00102215" w:rsidRDefault="0061692B" w:rsidP="00EA1D4F">
            <w:pPr>
              <w:pStyle w:val="Pis"/>
              <w:spacing w:before="100" w:after="100"/>
              <w:rPr>
                <w:b/>
                <w:bCs/>
                <w:noProof/>
                <w:lang w:val="et-EE"/>
              </w:rPr>
            </w:pPr>
            <w:r w:rsidRPr="00102215">
              <w:rPr>
                <w:b/>
                <w:bCs/>
                <w:noProof/>
                <w:lang w:val="et-EE"/>
              </w:rPr>
              <w:t>Kohtunik</w:t>
            </w:r>
          </w:p>
        </w:tc>
        <w:tc>
          <w:tcPr>
            <w:tcW w:w="6078" w:type="dxa"/>
          </w:tcPr>
          <w:p w14:paraId="1AA2064A" w14:textId="65F82172" w:rsidR="0061692B" w:rsidRPr="00102215" w:rsidRDefault="004D02BB" w:rsidP="00EA1D4F">
            <w:pPr>
              <w:spacing w:before="100" w:after="100"/>
            </w:pPr>
            <w:r>
              <w:t>Ants Mailend</w:t>
            </w:r>
          </w:p>
        </w:tc>
      </w:tr>
      <w:tr w:rsidR="0061692B" w:rsidRPr="00102215" w14:paraId="1AA20651" w14:textId="77777777" w:rsidTr="00732832">
        <w:tc>
          <w:tcPr>
            <w:tcW w:w="3528" w:type="dxa"/>
          </w:tcPr>
          <w:p w14:paraId="1AA2064F" w14:textId="77777777" w:rsidR="0061692B" w:rsidRPr="00102215" w:rsidRDefault="0061692B" w:rsidP="00EA1D4F">
            <w:pPr>
              <w:pStyle w:val="Pis"/>
              <w:spacing w:before="100" w:after="100"/>
              <w:rPr>
                <w:b/>
                <w:bCs/>
                <w:noProof/>
                <w:lang w:val="et-EE"/>
              </w:rPr>
            </w:pPr>
            <w:r w:rsidRPr="00102215">
              <w:rPr>
                <w:b/>
                <w:bCs/>
                <w:noProof/>
                <w:lang w:val="et-EE"/>
              </w:rPr>
              <w:t>Määruse tegemise aeg ja koht</w:t>
            </w:r>
          </w:p>
        </w:tc>
        <w:tc>
          <w:tcPr>
            <w:tcW w:w="6078" w:type="dxa"/>
          </w:tcPr>
          <w:p w14:paraId="1AA20650" w14:textId="1BBDFFD6" w:rsidR="0061692B" w:rsidRPr="00102215" w:rsidRDefault="002E3AD8" w:rsidP="00102215">
            <w:pPr>
              <w:spacing w:before="100" w:after="100"/>
            </w:pPr>
            <w:r>
              <w:t>0</w:t>
            </w:r>
            <w:r w:rsidR="005A3C7D">
              <w:t>8</w:t>
            </w:r>
            <w:r w:rsidR="000D277B">
              <w:t>.</w:t>
            </w:r>
            <w:r>
              <w:t>0</w:t>
            </w:r>
            <w:r w:rsidR="005A3C7D">
              <w:t>4</w:t>
            </w:r>
            <w:r w:rsidR="000D277B">
              <w:t>.202</w:t>
            </w:r>
            <w:r w:rsidR="005A3C7D">
              <w:t>4</w:t>
            </w:r>
            <w:r w:rsidR="0061692B" w:rsidRPr="00102215">
              <w:t>, Tallinn</w:t>
            </w:r>
            <w:r>
              <w:t>a kohtumaja</w:t>
            </w:r>
            <w:r w:rsidR="0058446C" w:rsidRPr="00102215">
              <w:t xml:space="preserve"> </w:t>
            </w:r>
          </w:p>
        </w:tc>
      </w:tr>
      <w:tr w:rsidR="0061692B" w:rsidRPr="00102215" w14:paraId="1AA20654" w14:textId="77777777" w:rsidTr="00732832">
        <w:tc>
          <w:tcPr>
            <w:tcW w:w="3528" w:type="dxa"/>
          </w:tcPr>
          <w:p w14:paraId="1AA20652" w14:textId="77777777" w:rsidR="0061692B" w:rsidRPr="00102215" w:rsidRDefault="0061692B" w:rsidP="00EA1D4F">
            <w:pPr>
              <w:spacing w:before="100" w:after="100"/>
              <w:rPr>
                <w:b/>
                <w:noProof/>
                <w:highlight w:val="yellow"/>
              </w:rPr>
            </w:pPr>
            <w:r w:rsidRPr="00102215">
              <w:rPr>
                <w:b/>
                <w:noProof/>
              </w:rPr>
              <w:t>Tsiviilasja number</w:t>
            </w:r>
          </w:p>
        </w:tc>
        <w:tc>
          <w:tcPr>
            <w:tcW w:w="6078" w:type="dxa"/>
          </w:tcPr>
          <w:p w14:paraId="1AA20653" w14:textId="67012D2D" w:rsidR="0061692B" w:rsidRPr="00102215" w:rsidRDefault="004D02BB" w:rsidP="0058446C">
            <w:pPr>
              <w:spacing w:before="100" w:after="100"/>
              <w:rPr>
                <w:highlight w:val="yellow"/>
              </w:rPr>
            </w:pPr>
            <w:r>
              <w:t>2-2</w:t>
            </w:r>
            <w:r w:rsidR="005A3C7D">
              <w:t>4</w:t>
            </w:r>
            <w:r>
              <w:t>-</w:t>
            </w:r>
            <w:r w:rsidR="005A3C7D">
              <w:t>4947</w:t>
            </w:r>
          </w:p>
        </w:tc>
      </w:tr>
      <w:tr w:rsidR="005916B9" w:rsidRPr="00102215" w14:paraId="1AA20657" w14:textId="77777777" w:rsidTr="00732832">
        <w:tc>
          <w:tcPr>
            <w:tcW w:w="3528" w:type="dxa"/>
          </w:tcPr>
          <w:p w14:paraId="1AA20655" w14:textId="77777777" w:rsidR="005916B9" w:rsidRPr="00102215" w:rsidRDefault="005916B9" w:rsidP="00EA1D4F">
            <w:pPr>
              <w:pStyle w:val="Pis"/>
              <w:spacing w:before="100" w:after="100"/>
              <w:rPr>
                <w:b/>
                <w:bCs/>
                <w:noProof/>
                <w:lang w:val="et-EE"/>
              </w:rPr>
            </w:pPr>
            <w:r w:rsidRPr="00102215">
              <w:rPr>
                <w:b/>
                <w:bCs/>
                <w:noProof/>
                <w:lang w:val="et-EE"/>
              </w:rPr>
              <w:t>Tsiviilasi</w:t>
            </w:r>
          </w:p>
        </w:tc>
        <w:tc>
          <w:tcPr>
            <w:tcW w:w="6078" w:type="dxa"/>
          </w:tcPr>
          <w:p w14:paraId="1AA20656" w14:textId="36AF6CB6" w:rsidR="005916B9" w:rsidRPr="00102215" w:rsidRDefault="00FB6916" w:rsidP="004D02BB">
            <w:pPr>
              <w:spacing w:before="100" w:after="100"/>
              <w:rPr>
                <w:noProof/>
              </w:rPr>
            </w:pPr>
            <w:r w:rsidRPr="00FB6916">
              <w:rPr>
                <w:rStyle w:val="h1"/>
              </w:rPr>
              <w:t>Bayer Intellectual Property GmbH hagi KRKA, d.d., Novo mesto vastu patendi rikkumisest hoidumise nõudes</w:t>
            </w:r>
          </w:p>
        </w:tc>
      </w:tr>
      <w:tr w:rsidR="004D02BB" w:rsidRPr="00102215" w14:paraId="1F9D9FFB" w14:textId="77777777" w:rsidTr="00732832">
        <w:tc>
          <w:tcPr>
            <w:tcW w:w="3528" w:type="dxa"/>
          </w:tcPr>
          <w:p w14:paraId="482CAAEC" w14:textId="7D0F1E72" w:rsidR="004D02BB" w:rsidRPr="00102215" w:rsidRDefault="004D02BB" w:rsidP="00EA1D4F">
            <w:pPr>
              <w:pStyle w:val="Pis"/>
              <w:spacing w:before="100" w:after="100"/>
              <w:rPr>
                <w:b/>
                <w:bCs/>
                <w:noProof/>
                <w:lang w:val="et-EE"/>
              </w:rPr>
            </w:pPr>
            <w:r>
              <w:rPr>
                <w:b/>
                <w:bCs/>
                <w:noProof/>
                <w:lang w:val="et-EE"/>
              </w:rPr>
              <w:t>Menetlusosalised</w:t>
            </w:r>
          </w:p>
        </w:tc>
        <w:tc>
          <w:tcPr>
            <w:tcW w:w="6078" w:type="dxa"/>
          </w:tcPr>
          <w:p w14:paraId="02463FC4" w14:textId="07CCD894" w:rsidR="00F456BA" w:rsidRPr="00F456BA" w:rsidRDefault="00F456BA" w:rsidP="00F456BA">
            <w:pPr>
              <w:spacing w:before="100" w:after="100"/>
              <w:rPr>
                <w:rStyle w:val="h1"/>
              </w:rPr>
            </w:pPr>
            <w:r w:rsidRPr="00F456BA">
              <w:rPr>
                <w:rStyle w:val="h1"/>
              </w:rPr>
              <w:t xml:space="preserve">Hageja: </w:t>
            </w:r>
            <w:r w:rsidR="00FB6916" w:rsidRPr="00FB6916">
              <w:rPr>
                <w:rStyle w:val="h1"/>
              </w:rPr>
              <w:t>Bayer Intellectual Property GmbH</w:t>
            </w:r>
            <w:r w:rsidRPr="00F456BA">
              <w:rPr>
                <w:rStyle w:val="h1"/>
              </w:rPr>
              <w:t xml:space="preserve">, </w:t>
            </w:r>
            <w:r>
              <w:rPr>
                <w:rStyle w:val="h1"/>
              </w:rPr>
              <w:t>l</w:t>
            </w:r>
            <w:r w:rsidRPr="00F456BA">
              <w:rPr>
                <w:rStyle w:val="h1"/>
              </w:rPr>
              <w:t>epinguli</w:t>
            </w:r>
            <w:r>
              <w:rPr>
                <w:rStyle w:val="h1"/>
              </w:rPr>
              <w:t>s</w:t>
            </w:r>
            <w:r w:rsidRPr="00F456BA">
              <w:rPr>
                <w:rStyle w:val="h1"/>
              </w:rPr>
              <w:t>e</w:t>
            </w:r>
            <w:r>
              <w:rPr>
                <w:rStyle w:val="h1"/>
              </w:rPr>
              <w:t>d</w:t>
            </w:r>
            <w:r w:rsidRPr="00F456BA">
              <w:rPr>
                <w:rStyle w:val="h1"/>
              </w:rPr>
              <w:t xml:space="preserve"> esindaja</w:t>
            </w:r>
            <w:r>
              <w:rPr>
                <w:rStyle w:val="h1"/>
              </w:rPr>
              <w:t>d vandeadvokaadi</w:t>
            </w:r>
            <w:r w:rsidR="00FB6916">
              <w:rPr>
                <w:rStyle w:val="h1"/>
              </w:rPr>
              <w:t>d Mari Must ja</w:t>
            </w:r>
            <w:r>
              <w:rPr>
                <w:rStyle w:val="h1"/>
              </w:rPr>
              <w:t xml:space="preserve"> </w:t>
            </w:r>
            <w:r w:rsidRPr="00F456BA">
              <w:rPr>
                <w:rStyle w:val="h1"/>
              </w:rPr>
              <w:t xml:space="preserve">Ants Nõmper </w:t>
            </w:r>
          </w:p>
          <w:p w14:paraId="74A601BD" w14:textId="7746301E" w:rsidR="004D02BB" w:rsidRPr="004D02BB" w:rsidRDefault="00F456BA" w:rsidP="00F456BA">
            <w:pPr>
              <w:spacing w:before="100" w:after="100"/>
              <w:rPr>
                <w:rStyle w:val="h1"/>
              </w:rPr>
            </w:pPr>
            <w:r w:rsidRPr="00F456BA">
              <w:rPr>
                <w:rStyle w:val="h1"/>
              </w:rPr>
              <w:t xml:space="preserve">Kostja: </w:t>
            </w:r>
            <w:r w:rsidR="00FB6916" w:rsidRPr="00FB6916">
              <w:rPr>
                <w:rStyle w:val="h1"/>
              </w:rPr>
              <w:t>KRKA, d.d., Novo mesto</w:t>
            </w:r>
          </w:p>
        </w:tc>
      </w:tr>
      <w:tr w:rsidR="000149D7" w:rsidRPr="00102215" w14:paraId="1AA2065A" w14:textId="77777777" w:rsidTr="00732832">
        <w:tc>
          <w:tcPr>
            <w:tcW w:w="3528" w:type="dxa"/>
          </w:tcPr>
          <w:p w14:paraId="1AA20658" w14:textId="2C1EA039" w:rsidR="005916B9" w:rsidRPr="00102215" w:rsidRDefault="005916B9" w:rsidP="00EA1D4F">
            <w:pPr>
              <w:pStyle w:val="Pis"/>
              <w:spacing w:before="100" w:after="100"/>
              <w:rPr>
                <w:b/>
                <w:bCs/>
                <w:noProof/>
                <w:lang w:val="et-EE"/>
              </w:rPr>
            </w:pPr>
            <w:r w:rsidRPr="00102215">
              <w:rPr>
                <w:b/>
                <w:bCs/>
                <w:noProof/>
                <w:lang w:val="et-EE"/>
              </w:rPr>
              <w:t>Menetlustoiming</w:t>
            </w:r>
          </w:p>
        </w:tc>
        <w:tc>
          <w:tcPr>
            <w:tcW w:w="6078" w:type="dxa"/>
          </w:tcPr>
          <w:p w14:paraId="1AA20659" w14:textId="2E064EE1" w:rsidR="005916B9" w:rsidRPr="00102215" w:rsidRDefault="005916B9" w:rsidP="000149D7">
            <w:pPr>
              <w:spacing w:before="100" w:after="100"/>
            </w:pPr>
            <w:r w:rsidRPr="00102215">
              <w:t>Hagi tagami</w:t>
            </w:r>
            <w:r w:rsidR="000149D7" w:rsidRPr="00102215">
              <w:t xml:space="preserve">se </w:t>
            </w:r>
            <w:r w:rsidR="00BC02B0">
              <w:t>taotluse</w:t>
            </w:r>
            <w:r w:rsidR="000149D7" w:rsidRPr="00102215">
              <w:t xml:space="preserve"> lahendamine</w:t>
            </w:r>
          </w:p>
        </w:tc>
      </w:tr>
      <w:tr w:rsidR="000149D7" w:rsidRPr="00102215" w14:paraId="1AA2065D" w14:textId="77777777" w:rsidTr="00732832">
        <w:tc>
          <w:tcPr>
            <w:tcW w:w="3528" w:type="dxa"/>
          </w:tcPr>
          <w:p w14:paraId="5ABFB448" w14:textId="77777777" w:rsidR="00F456BA" w:rsidRDefault="00F456BA" w:rsidP="00EA1D4F">
            <w:pPr>
              <w:pStyle w:val="Pis"/>
              <w:spacing w:before="100" w:after="100"/>
              <w:rPr>
                <w:b/>
                <w:bCs/>
                <w:noProof/>
                <w:lang w:val="et-EE"/>
              </w:rPr>
            </w:pPr>
          </w:p>
          <w:p w14:paraId="1AA2065B" w14:textId="2F7FF3FB" w:rsidR="005916B9" w:rsidRPr="00102215" w:rsidRDefault="005916B9" w:rsidP="00EA1D4F">
            <w:pPr>
              <w:pStyle w:val="Pis"/>
              <w:spacing w:before="100" w:after="100"/>
              <w:rPr>
                <w:b/>
                <w:bCs/>
                <w:noProof/>
                <w:lang w:val="et-EE"/>
              </w:rPr>
            </w:pPr>
            <w:r w:rsidRPr="00102215">
              <w:rPr>
                <w:b/>
                <w:bCs/>
                <w:noProof/>
                <w:lang w:val="et-EE"/>
              </w:rPr>
              <w:t>RESOLUTSIOON</w:t>
            </w:r>
          </w:p>
        </w:tc>
        <w:tc>
          <w:tcPr>
            <w:tcW w:w="6078" w:type="dxa"/>
          </w:tcPr>
          <w:p w14:paraId="1AA2065C" w14:textId="77777777" w:rsidR="005916B9" w:rsidRPr="00102215" w:rsidRDefault="005916B9" w:rsidP="00EA1D4F">
            <w:pPr>
              <w:spacing w:before="100" w:after="100"/>
              <w:rPr>
                <w:noProof/>
              </w:rPr>
            </w:pPr>
          </w:p>
        </w:tc>
      </w:tr>
      <w:tr w:rsidR="00B94CB3" w:rsidRPr="00904347" w14:paraId="1AA20661" w14:textId="77777777" w:rsidTr="00732832">
        <w:tc>
          <w:tcPr>
            <w:tcW w:w="9606" w:type="dxa"/>
            <w:gridSpan w:val="2"/>
          </w:tcPr>
          <w:p w14:paraId="1AA2065E" w14:textId="7ACEDD87" w:rsidR="0051578A" w:rsidRPr="00904347" w:rsidRDefault="0051578A" w:rsidP="00237186">
            <w:pPr>
              <w:numPr>
                <w:ilvl w:val="0"/>
                <w:numId w:val="13"/>
              </w:numPr>
              <w:spacing w:before="100" w:after="100"/>
              <w:rPr>
                <w:b/>
                <w:noProof/>
              </w:rPr>
            </w:pPr>
            <w:r w:rsidRPr="00904347">
              <w:rPr>
                <w:b/>
                <w:noProof/>
              </w:rPr>
              <w:t xml:space="preserve">Rahuldada </w:t>
            </w:r>
            <w:r w:rsidRPr="00904347">
              <w:rPr>
                <w:rStyle w:val="h1"/>
                <w:b/>
              </w:rPr>
              <w:t xml:space="preserve">hagi tagamise </w:t>
            </w:r>
            <w:r w:rsidR="00F456BA">
              <w:rPr>
                <w:rStyle w:val="h1"/>
                <w:b/>
              </w:rPr>
              <w:t>taotlus</w:t>
            </w:r>
            <w:r w:rsidRPr="00904347">
              <w:rPr>
                <w:rStyle w:val="h1"/>
                <w:b/>
              </w:rPr>
              <w:t xml:space="preserve">. </w:t>
            </w:r>
          </w:p>
          <w:p w14:paraId="1AA2065F" w14:textId="42C4E87F" w:rsidR="00237186" w:rsidRPr="00904347" w:rsidRDefault="007C0F8D" w:rsidP="00942D12">
            <w:pPr>
              <w:numPr>
                <w:ilvl w:val="0"/>
                <w:numId w:val="13"/>
              </w:numPr>
              <w:spacing w:before="100" w:after="100"/>
              <w:rPr>
                <w:b/>
                <w:noProof/>
              </w:rPr>
            </w:pPr>
            <w:r w:rsidRPr="007C0F8D">
              <w:rPr>
                <w:b/>
                <w:noProof/>
              </w:rPr>
              <w:t xml:space="preserve">Hagi tagamise korras keelata </w:t>
            </w:r>
            <w:r w:rsidR="0023369F">
              <w:rPr>
                <w:b/>
                <w:noProof/>
              </w:rPr>
              <w:t>kostjal (</w:t>
            </w:r>
            <w:r w:rsidRPr="007C0F8D">
              <w:rPr>
                <w:b/>
                <w:noProof/>
              </w:rPr>
              <w:t>KRKA, d.d., Novo mesto</w:t>
            </w:r>
            <w:r w:rsidR="0023369F">
              <w:rPr>
                <w:b/>
                <w:noProof/>
              </w:rPr>
              <w:t>)</w:t>
            </w:r>
            <w:r w:rsidRPr="007C0F8D">
              <w:rPr>
                <w:b/>
                <w:noProof/>
              </w:rPr>
              <w:t xml:space="preserve"> kuni lõpliku kohtulahendi  jõustumiseni käesolevas asjas, kuid mitte kauem kui 19. jaanuar 2026 ravimi XERDOXO  (tablett) tugevusega 10 mg, 15 mg ja 20 mg import Eestisse, selle levitamine,  kasutamine, müügiks pakkumine ja müümine Eestis ise ning läbi kolmandate isikute.</w:t>
            </w:r>
          </w:p>
          <w:p w14:paraId="1AA20660" w14:textId="77777777" w:rsidR="00A71984" w:rsidRPr="00904347" w:rsidRDefault="00A71984" w:rsidP="00A71984">
            <w:pPr>
              <w:numPr>
                <w:ilvl w:val="0"/>
                <w:numId w:val="13"/>
              </w:numPr>
              <w:spacing w:before="100" w:after="100"/>
              <w:rPr>
                <w:b/>
                <w:noProof/>
              </w:rPr>
            </w:pPr>
            <w:r w:rsidRPr="00904347">
              <w:rPr>
                <w:b/>
                <w:noProof/>
              </w:rPr>
              <w:t>Määrus on viivitamata täidetav.</w:t>
            </w:r>
          </w:p>
        </w:tc>
      </w:tr>
    </w:tbl>
    <w:p w14:paraId="5630A19E" w14:textId="77777777" w:rsidR="0083718A" w:rsidRDefault="0083718A" w:rsidP="002F4C39">
      <w:pPr>
        <w:spacing w:before="100" w:after="100"/>
        <w:rPr>
          <w:b/>
          <w:bCs/>
          <w:noProof/>
        </w:rPr>
      </w:pPr>
    </w:p>
    <w:p w14:paraId="1AA20662" w14:textId="5AC517D8" w:rsidR="0046289F" w:rsidRPr="00102215" w:rsidRDefault="0046289F" w:rsidP="002F4C39">
      <w:pPr>
        <w:spacing w:before="100" w:after="100"/>
      </w:pPr>
      <w:r w:rsidRPr="00102215">
        <w:rPr>
          <w:b/>
          <w:bCs/>
          <w:noProof/>
        </w:rPr>
        <w:t>Edasikaebamise kord</w:t>
      </w:r>
    </w:p>
    <w:p w14:paraId="1AA20663" w14:textId="0FE18C03" w:rsidR="0051578A" w:rsidRPr="00102215" w:rsidRDefault="0051578A" w:rsidP="0051578A">
      <w:pPr>
        <w:rPr>
          <w:noProof/>
          <w:lang w:val="fi-FI"/>
        </w:rPr>
      </w:pPr>
      <w:r w:rsidRPr="00102215">
        <w:rPr>
          <w:noProof/>
          <w:lang w:val="fi-FI"/>
        </w:rPr>
        <w:t xml:space="preserve">Määrusele võib esitada määruskaebuse 15 päeva jooksul arvates kohtumääruse kättesaamisest Tallinna Ringkonnakohtule Harju Maakohtu Tallinna kohtumaja kaudu, kuid mitte hiljem kui 5 kuu möödumisel määruse tegemisest. </w:t>
      </w:r>
    </w:p>
    <w:p w14:paraId="08A703EB" w14:textId="77777777" w:rsidR="004D02BB" w:rsidRDefault="004D02BB" w:rsidP="004D02BB">
      <w:pPr>
        <w:rPr>
          <w:b/>
        </w:rPr>
      </w:pPr>
    </w:p>
    <w:p w14:paraId="1AA20664" w14:textId="02240FFD" w:rsidR="006243E8" w:rsidRDefault="00607622" w:rsidP="004D02BB">
      <w:pPr>
        <w:rPr>
          <w:b/>
        </w:rPr>
      </w:pPr>
      <w:r w:rsidRPr="00102215">
        <w:rPr>
          <w:b/>
        </w:rPr>
        <w:t>Asjaolud</w:t>
      </w:r>
    </w:p>
    <w:p w14:paraId="3111F6FE" w14:textId="7B3C1B9F" w:rsidR="00805EC7" w:rsidRDefault="00531DFD" w:rsidP="00F40B5A">
      <w:pPr>
        <w:pStyle w:val="Loendilik"/>
        <w:numPr>
          <w:ilvl w:val="0"/>
          <w:numId w:val="20"/>
        </w:numPr>
        <w:ind w:left="360"/>
      </w:pPr>
      <w:r>
        <w:t>B</w:t>
      </w:r>
      <w:r w:rsidRPr="00531DFD">
        <w:t>ayer Intellectual Property GmbH (hageja</w:t>
      </w:r>
      <w:r>
        <w:t>, Bayer</w:t>
      </w:r>
      <w:r w:rsidRPr="00531DFD">
        <w:t>)</w:t>
      </w:r>
      <w:r w:rsidR="00805EC7">
        <w:t xml:space="preserve"> </w:t>
      </w:r>
      <w:r w:rsidR="00102215" w:rsidRPr="002B6031">
        <w:t xml:space="preserve">esitas </w:t>
      </w:r>
      <w:r>
        <w:t>26.03</w:t>
      </w:r>
      <w:r w:rsidR="00805EC7">
        <w:t>.202</w:t>
      </w:r>
      <w:r>
        <w:t>4</w:t>
      </w:r>
      <w:r w:rsidR="00102215" w:rsidRPr="002B6031">
        <w:t xml:space="preserve"> hagi</w:t>
      </w:r>
      <w:r w:rsidR="00805EC7">
        <w:t xml:space="preserve"> </w:t>
      </w:r>
      <w:r w:rsidR="00942D12" w:rsidRPr="002B6031">
        <w:t xml:space="preserve"> </w:t>
      </w:r>
      <w:r w:rsidRPr="00531DFD">
        <w:t>KRKA, d.d., Novo mesto</w:t>
      </w:r>
      <w:r w:rsidRPr="00531DFD">
        <w:t xml:space="preserve"> </w:t>
      </w:r>
      <w:r w:rsidR="00805EC7">
        <w:t>(</w:t>
      </w:r>
      <w:r>
        <w:t>kostja, KRKA)</w:t>
      </w:r>
      <w:r w:rsidR="00805EC7">
        <w:t xml:space="preserve"> </w:t>
      </w:r>
      <w:r w:rsidR="00942D12" w:rsidRPr="002B6031">
        <w:t>vastu</w:t>
      </w:r>
      <w:r w:rsidR="00805EC7">
        <w:t xml:space="preserve"> </w:t>
      </w:r>
      <w:r w:rsidRPr="00531DFD">
        <w:t>hoiduma ravimi XERDOXO (tablett) tugevusega  10 mg, 15 mg ja 20 mg impordist Eestisse, selle valmistamisest, ladustamisest,  kasutamisest, levitamisest, müügiks pakkumisest, müümisest, turustamisest ja  reklaamimisest Eestis ise ning läbi kolmandate isikute kuni 19.</w:t>
      </w:r>
      <w:r w:rsidR="00CB374D">
        <w:t>01.</w:t>
      </w:r>
      <w:r w:rsidRPr="00531DFD">
        <w:t>2026</w:t>
      </w:r>
      <w:r w:rsidR="00805EC7">
        <w:t xml:space="preserve">. </w:t>
      </w:r>
    </w:p>
    <w:p w14:paraId="4D347E4E" w14:textId="60614507" w:rsidR="00531DFD" w:rsidRDefault="00942D12" w:rsidP="00F40B5A">
      <w:pPr>
        <w:pStyle w:val="Loendilik"/>
        <w:ind w:left="360"/>
      </w:pPr>
      <w:r w:rsidRPr="002B6031">
        <w:lastRenderedPageBreak/>
        <w:t>Hag</w:t>
      </w:r>
      <w:r w:rsidR="00531DFD">
        <w:t xml:space="preserve">eja taotles ka hagi tagamist, paludes </w:t>
      </w:r>
      <w:r w:rsidR="00531DFD" w:rsidRPr="00531DFD">
        <w:t>korras keelata KRKA, d.d., Novo mesto-l kuni lõpliku kohtulahendi  jõustumiseni käesolevas asjas, kuid mitte kauem kui 19. jaanuar 2026 ravimi XERDOXO  (tablett) tugevusega 10 mg, 15 mg ja 20 mg import Eestisse, selle levitamine,  kasutamine, müügiks pakkumine ja müümine Eestis ise ning läbi kolmandate isikute.</w:t>
      </w:r>
    </w:p>
    <w:p w14:paraId="7B712097" w14:textId="3A9F8BEF" w:rsidR="00531DFD" w:rsidRDefault="00531DFD" w:rsidP="00F40B5A">
      <w:pPr>
        <w:pStyle w:val="Loendilik"/>
        <w:ind w:left="360"/>
      </w:pPr>
    </w:p>
    <w:p w14:paraId="10B1F5B3" w14:textId="099ACE64" w:rsidR="00531DFD" w:rsidRDefault="00531DFD" w:rsidP="00F40B5A">
      <w:pPr>
        <w:pStyle w:val="Loendilik"/>
        <w:ind w:left="360"/>
      </w:pPr>
      <w:r>
        <w:t>H</w:t>
      </w:r>
      <w:r w:rsidRPr="00531DFD">
        <w:t>ageja</w:t>
      </w:r>
      <w:r>
        <w:t xml:space="preserve">le kuulub </w:t>
      </w:r>
      <w:r w:rsidRPr="00531DFD">
        <w:t>Eestis jõustatud Euroopa paten</w:t>
      </w:r>
      <w:r>
        <w:t>t</w:t>
      </w:r>
      <w:r w:rsidRPr="00531DFD">
        <w:t xml:space="preserve"> EP1845961 (EP961)</w:t>
      </w:r>
      <w:r w:rsidR="0016697B">
        <w:t xml:space="preserve"> kehtivustähtpäevaga 19.01.2026</w:t>
      </w:r>
      <w:r w:rsidRPr="00531DFD">
        <w:t>. Patent kaitseb toimeaine rivaroksabaani üks kord  päevas suukaudse ravimvormina manustamist trombemboolsete häirete raviks. Patendi tuumaks on  leiutis, mis puudutab toimeaine rivaroksabaani üks kord päevas suukaudse manustamise ja kiire  vabanemisega ravimvormi. Hageja originaalravim Xarelto® sisaldab toimeainena rivaroksabaani ja  kuulub ravimite rühma, mida nimetatakse tromboosivastasteks aineteks. Xarelto® toimib vere  hüübimisfaktori (Xa faktor) blokeerimise kaudu, vähendades vereklompide moodustumist.</w:t>
      </w:r>
    </w:p>
    <w:p w14:paraId="468BFDB8" w14:textId="77777777" w:rsidR="00531DFD" w:rsidRDefault="00531DFD" w:rsidP="00F40B5A">
      <w:pPr>
        <w:pStyle w:val="Loendilik"/>
        <w:ind w:left="360"/>
      </w:pPr>
    </w:p>
    <w:p w14:paraId="3244133F" w14:textId="380B8A44" w:rsidR="00D17B5E" w:rsidRDefault="00531DFD" w:rsidP="00F40B5A">
      <w:pPr>
        <w:pStyle w:val="Loendilik"/>
        <w:ind w:left="360"/>
      </w:pPr>
      <w:r w:rsidRPr="00531DFD">
        <w:t>KRKA</w:t>
      </w:r>
      <w:r>
        <w:t xml:space="preserve">-le </w:t>
      </w:r>
      <w:r w:rsidRPr="00531DFD">
        <w:t>on väljastatud müügiluba Xarelto® geneerilisele  versioonile XERDOXO, mis samuti sisaldab toimeainena rivaroksabaani ja samuti kuulub ravimite  rühma, mida nimetatakse tromboosivastasteks aineteks. Nagu Xarelto®, toimib ka XERDOXO vere  hüübimisfaktori (Xa faktor) blokeerimise kaudu, vähendades verehüüvete (trombide) moodustumist.</w:t>
      </w:r>
      <w:r>
        <w:t xml:space="preserve"> </w:t>
      </w:r>
      <w:r w:rsidRPr="00531DFD">
        <w:t>Geneeriline ravim XERDOXO on nagu Xarelto® üks kord päevas suukaudselt manustav ning seega  vastab EP 961 nõudluspunkti 1 tunnustele.</w:t>
      </w:r>
      <w:r>
        <w:t xml:space="preserve"> Kostja ravimi turustamine Eestis rikuks hageja patendiõigusi. </w:t>
      </w:r>
    </w:p>
    <w:p w14:paraId="269DCAEB" w14:textId="77777777" w:rsidR="00D17B5E" w:rsidRDefault="00D17B5E" w:rsidP="00F40B5A">
      <w:pPr>
        <w:pStyle w:val="Loendilik"/>
        <w:ind w:left="360"/>
      </w:pPr>
    </w:p>
    <w:p w14:paraId="620C9780" w14:textId="47FD16FB" w:rsidR="00531DFD" w:rsidRDefault="00D17B5E" w:rsidP="00F40B5A">
      <w:pPr>
        <w:pStyle w:val="Loendilik"/>
        <w:ind w:left="360"/>
      </w:pPr>
      <w:r w:rsidRPr="00D17B5E">
        <w:t>Kostja esitas 19. jaanuaril 2024 Tervisekassale taotluse ravimi XERDOXO (tablett) tugevusega 10 mg,  15 mg ja 20 mg lisamiseks soodusravimite loetellu. Tervisekassa rahuldas kostja taotluse 1. veebruaril  2024. Soodushinnaga ravimite loetelu muudetakse regulaarselt kord kvartalis, järgimine kord on 1.  aprillil 2024. Vastavalt terviseministri eelnõule on XERDOXO lisatud 1. aprillil 2024 jõustuvasse  soodusravimite nimekirja. Kostja on seega teinud kõik tavapärased toimingud ravimiga XERDOXO  turule tulemiseks.</w:t>
      </w:r>
      <w:r>
        <w:t xml:space="preserve"> Hageja nõudis kostjalt 09.02.2024 Eesti turule sisenemisest hoidumist. Kostja lubas seda vaidlusaluse patendi kehtivuse ajal mitte teha, kuid vastus ei olnud kategooriline ja kostja on järgnevalt jätkanud ettevalmistusi, sõlmides 08.03.2024 Tervisekassaga hinnakokkuleppe ravimile </w:t>
      </w:r>
      <w:r w:rsidRPr="00D17B5E">
        <w:t>XERDOXO</w:t>
      </w:r>
      <w:r>
        <w:t xml:space="preserve">. </w:t>
      </w:r>
      <w:r w:rsidR="00531DFD" w:rsidRPr="00531DFD">
        <w:t xml:space="preserve">  </w:t>
      </w:r>
    </w:p>
    <w:p w14:paraId="2A1BD1D1" w14:textId="77777777" w:rsidR="00531DFD" w:rsidRDefault="00531DFD" w:rsidP="00F40B5A">
      <w:pPr>
        <w:pStyle w:val="Loendilik"/>
        <w:ind w:left="360"/>
      </w:pPr>
    </w:p>
    <w:p w14:paraId="787C46AC" w14:textId="547E2F69" w:rsidR="00531DFD" w:rsidRDefault="005A3DEC" w:rsidP="00F40B5A">
      <w:pPr>
        <w:pStyle w:val="Loendilik"/>
        <w:ind w:left="360"/>
      </w:pPr>
      <w:r>
        <w:t xml:space="preserve">Kõigis </w:t>
      </w:r>
      <w:r w:rsidRPr="005A3DEC">
        <w:t xml:space="preserve">Mandri-Euroopa riikides </w:t>
      </w:r>
      <w:r>
        <w:t>ja</w:t>
      </w:r>
      <w:r w:rsidRPr="005A3DEC">
        <w:t xml:space="preserve"> </w:t>
      </w:r>
      <w:r>
        <w:t>Euroopa Patendiametis (</w:t>
      </w:r>
      <w:r w:rsidRPr="005A3DEC">
        <w:t>EPO) EP 961 kehtivuse osas  tehtud lahend</w:t>
      </w:r>
      <w:r>
        <w:t xml:space="preserve">ites on </w:t>
      </w:r>
      <w:r w:rsidRPr="005A3DEC">
        <w:t>siiani on kõik kinnitanud</w:t>
      </w:r>
      <w:r w:rsidR="005F7872">
        <w:t xml:space="preserve"> patendi</w:t>
      </w:r>
      <w:r w:rsidRPr="005A3DEC">
        <w:t xml:space="preserve"> kehtivust.</w:t>
      </w:r>
      <w:r>
        <w:t xml:space="preserve"> </w:t>
      </w:r>
      <w:r w:rsidR="00DB6A89">
        <w:t xml:space="preserve">Koos teiste isikutega vaidlustas kostja EP 961 kehtivuse Euroopa Patendiametis. </w:t>
      </w:r>
      <w:r>
        <w:t>E</w:t>
      </w:r>
      <w:r w:rsidR="00A2064B">
        <w:t>PO</w:t>
      </w:r>
      <w:r>
        <w:t xml:space="preserve"> Apellatsioonikoda jättis </w:t>
      </w:r>
      <w:r w:rsidRPr="005A3DEC">
        <w:t>27. oktoobri 2021 otsusega EP 961 jõusse välja antud kujul. EPO kinnitas, et EP 961 on uudne, sellel on leiutustase ning EP 961 avab leiutise piisavalt  selgelt ja täielikult.</w:t>
      </w:r>
      <w:r>
        <w:t xml:space="preserve"> Sellele otsusele esitatud kaebuse luges EPO Laiendatud Apellatsioonikoda perspektiivituks ja kaebus võeti tagasi.</w:t>
      </w:r>
    </w:p>
    <w:p w14:paraId="3E438F0D" w14:textId="77777777" w:rsidR="005A3DEC" w:rsidRDefault="005A3DEC" w:rsidP="00F40B5A">
      <w:pPr>
        <w:pStyle w:val="Loendilik"/>
        <w:ind w:left="360"/>
      </w:pPr>
    </w:p>
    <w:p w14:paraId="13946994" w14:textId="4F435D15" w:rsidR="005A3DEC" w:rsidRDefault="005A3DEC" w:rsidP="00F40B5A">
      <w:pPr>
        <w:pStyle w:val="Loendilik"/>
        <w:ind w:left="360"/>
      </w:pPr>
      <w:r w:rsidRPr="005A3DEC">
        <w:t>Saksamaa Föderaal</w:t>
      </w:r>
      <w:r>
        <w:t>ne</w:t>
      </w:r>
      <w:r w:rsidRPr="005A3DEC">
        <w:t xml:space="preserve"> Patendikohtus </w:t>
      </w:r>
      <w:r>
        <w:t>andis</w:t>
      </w:r>
      <w:r w:rsidRPr="005A3DEC">
        <w:t xml:space="preserve"> 3. jaanuaril 2024 esialgse arvamuse EP 961 kehtivust puudutavas vaidluses</w:t>
      </w:r>
      <w:r>
        <w:t xml:space="preserve"> kinnitades</w:t>
      </w:r>
      <w:r w:rsidRPr="005A3DEC">
        <w:t xml:space="preserve"> paten</w:t>
      </w:r>
      <w:r>
        <w:t>di</w:t>
      </w:r>
      <w:r w:rsidRPr="005A3DEC">
        <w:t xml:space="preserve"> </w:t>
      </w:r>
      <w:r>
        <w:t>k</w:t>
      </w:r>
      <w:r w:rsidRPr="005A3DEC">
        <w:t>ehtiv</w:t>
      </w:r>
      <w:r>
        <w:t xml:space="preserve">ust. Patendi kehivust on kinnitatud ka </w:t>
      </w:r>
      <w:r w:rsidRPr="005A3DEC">
        <w:t>Oslo Piirkonnakoh</w:t>
      </w:r>
      <w:r>
        <w:t>t</w:t>
      </w:r>
      <w:r w:rsidRPr="005A3DEC">
        <w:t>u 9.</w:t>
      </w:r>
      <w:r>
        <w:t>06.</w:t>
      </w:r>
      <w:r w:rsidRPr="005A3DEC">
        <w:t>2023 otsuse</w:t>
      </w:r>
      <w:r>
        <w:t xml:space="preserve">s, </w:t>
      </w:r>
      <w:r w:rsidRPr="005A3DEC">
        <w:t>Stockholmi Piirkonnakoh</w:t>
      </w:r>
      <w:r>
        <w:t>t</w:t>
      </w:r>
      <w:r w:rsidRPr="005A3DEC">
        <w:t>u</w:t>
      </w:r>
      <w:r>
        <w:t xml:space="preserve"> </w:t>
      </w:r>
      <w:r w:rsidRPr="005A3DEC">
        <w:t>1.</w:t>
      </w:r>
      <w:r>
        <w:t>02.</w:t>
      </w:r>
      <w:r w:rsidRPr="005A3DEC">
        <w:t>2024 otsuse</w:t>
      </w:r>
      <w:r>
        <w:t xml:space="preserve">s, </w:t>
      </w:r>
      <w:r w:rsidRPr="005A3DEC">
        <w:t>Haagi Piirkonnakoh</w:t>
      </w:r>
      <w:r>
        <w:t>t</w:t>
      </w:r>
      <w:r w:rsidRPr="005A3DEC">
        <w:t>u 1.</w:t>
      </w:r>
      <w:r>
        <w:t>11.</w:t>
      </w:r>
      <w:r w:rsidRPr="005A3DEC">
        <w:t>2023</w:t>
      </w:r>
      <w:r>
        <w:t xml:space="preserve"> otsuses ja </w:t>
      </w:r>
      <w:r w:rsidRPr="005A3DEC">
        <w:t>Brüsseli Kommertskoh</w:t>
      </w:r>
      <w:r>
        <w:t>t</w:t>
      </w:r>
      <w:r w:rsidRPr="005A3DEC">
        <w:t>u 20.</w:t>
      </w:r>
      <w:r>
        <w:t>02.</w:t>
      </w:r>
      <w:r w:rsidRPr="005A3DEC">
        <w:t>2024</w:t>
      </w:r>
      <w:r>
        <w:t xml:space="preserve"> otsuses. </w:t>
      </w:r>
    </w:p>
    <w:p w14:paraId="1C4B981C" w14:textId="77777777" w:rsidR="00531DFD" w:rsidRDefault="00531DFD" w:rsidP="00F40B5A">
      <w:pPr>
        <w:pStyle w:val="Loendilik"/>
        <w:ind w:left="360"/>
      </w:pPr>
    </w:p>
    <w:p w14:paraId="62CA849A" w14:textId="605D895D" w:rsidR="00531DFD" w:rsidRDefault="005A3DEC" w:rsidP="00F40B5A">
      <w:pPr>
        <w:pStyle w:val="Loendilik"/>
        <w:ind w:left="360"/>
      </w:pPr>
      <w:r w:rsidRPr="005A3DEC">
        <w:t>Müncheni Maakohtu 21.03.2024 määrus</w:t>
      </w:r>
      <w:r>
        <w:t xml:space="preserve">ega </w:t>
      </w:r>
      <w:r w:rsidR="005F7872">
        <w:t xml:space="preserve">keelati hagi tagamise korras sarnase </w:t>
      </w:r>
      <w:r w:rsidR="003C144B">
        <w:t xml:space="preserve">geneerilise </w:t>
      </w:r>
      <w:r w:rsidR="005F7872">
        <w:t>ravimi turustamine Saksama</w:t>
      </w:r>
      <w:r w:rsidR="00CB04B1">
        <w:t>a</w:t>
      </w:r>
      <w:r w:rsidR="005F7872">
        <w:t>l</w:t>
      </w:r>
      <w:r w:rsidRPr="005A3DEC">
        <w:t>.</w:t>
      </w:r>
    </w:p>
    <w:p w14:paraId="550385CF" w14:textId="0331459F" w:rsidR="00724589" w:rsidRDefault="00724589" w:rsidP="00F40B5A">
      <w:pPr>
        <w:pStyle w:val="Loendilik"/>
        <w:ind w:left="360"/>
      </w:pPr>
    </w:p>
    <w:p w14:paraId="544B938F" w14:textId="77777777" w:rsidR="00472828" w:rsidRDefault="007C07EB" w:rsidP="00472828">
      <w:pPr>
        <w:pStyle w:val="Loendilik"/>
        <w:ind w:left="360"/>
      </w:pPr>
      <w:r>
        <w:t>H</w:t>
      </w:r>
      <w:r w:rsidR="00724589">
        <w:t>ageja patendi</w:t>
      </w:r>
      <w:r>
        <w:t>õigusi rikkuva ravimi m</w:t>
      </w:r>
      <w:r w:rsidR="00724589">
        <w:t xml:space="preserve">üümine Eestis </w:t>
      </w:r>
      <w:r w:rsidR="007976C3">
        <w:t>põhjustaks hagejale majanduslikku kahju</w:t>
      </w:r>
      <w:r w:rsidR="00472828">
        <w:t xml:space="preserve">. Hageja ravimi müügikäive Eestis oli üle 7,4 miljoni euro 2023.a.  </w:t>
      </w:r>
      <w:r w:rsidR="00472828">
        <w:t xml:space="preserve">Kostja ravimi turustamine Eestis rikuks hageja patendiõigusi. Kostja teeniks tulu hageja intellektuaalomandi arvel. Väheneks hageja ravimi turuosa ja müügihind. </w:t>
      </w:r>
    </w:p>
    <w:p w14:paraId="5A779BF6" w14:textId="77777777" w:rsidR="00472828" w:rsidRDefault="00472828" w:rsidP="00472828">
      <w:pPr>
        <w:pStyle w:val="Loendilik"/>
        <w:ind w:left="360"/>
      </w:pPr>
    </w:p>
    <w:p w14:paraId="1448A787" w14:textId="48275FB6" w:rsidR="00724589" w:rsidRDefault="00472828" w:rsidP="00F40B5A">
      <w:pPr>
        <w:pStyle w:val="Loendilik"/>
        <w:ind w:left="360"/>
      </w:pPr>
      <w:r>
        <w:lastRenderedPageBreak/>
        <w:t xml:space="preserve">Kostja ravimi turustamine Eestis </w:t>
      </w:r>
      <w:r w:rsidR="007976C3">
        <w:t xml:space="preserve">kujutaks endast </w:t>
      </w:r>
      <w:r w:rsidR="00724589">
        <w:t xml:space="preserve">omavoli. Omavoli tähendab ilma õiguse omaja nõusolekuta või seadusest tuleneva aluseta tegevust. Hageja patendiomanikuna ei ole andnud kostjale luba patendiga kaitstud toimeainet sisaldava ravimi impordiks ega turustamiseks Eestis. Samuti ei ole ühtki seadust, mis annaks kostjale õiguse </w:t>
      </w:r>
      <w:r>
        <w:t xml:space="preserve">vaidlusalust </w:t>
      </w:r>
      <w:r w:rsidR="00724589">
        <w:t xml:space="preserve">patenti rikkuvat ravimit  importida ning turustada. Seega on sellise ravimi importimine ja turustamine Eestis kostja poolt ilma hageja nõusolekuta ja seadusliku aluseta omavoliline. </w:t>
      </w:r>
      <w:r w:rsidR="00724589">
        <w:cr/>
      </w:r>
    </w:p>
    <w:p w14:paraId="7EB42F5B" w14:textId="12CB2357" w:rsidR="005C742B" w:rsidRDefault="00BC2FB3" w:rsidP="00F40B5A">
      <w:pPr>
        <w:pStyle w:val="Loendilik"/>
        <w:numPr>
          <w:ilvl w:val="0"/>
          <w:numId w:val="20"/>
        </w:numPr>
        <w:ind w:left="360"/>
      </w:pPr>
      <w:r>
        <w:t xml:space="preserve">Kohus andis </w:t>
      </w:r>
      <w:r w:rsidR="005418BC">
        <w:t xml:space="preserve">27.03.2024 </w:t>
      </w:r>
      <w:r>
        <w:t>määrusega kostjale võimaluse esitada hagi tagamise taotluse kohta oma seisukoht (dtl</w:t>
      </w:r>
      <w:r w:rsidR="005418BC">
        <w:t xml:space="preserve"> 1375)</w:t>
      </w:r>
      <w:r>
        <w:t>. Kostja</w:t>
      </w:r>
      <w:r w:rsidR="005418BC">
        <w:t xml:space="preserve"> seisukohta ei esitanud</w:t>
      </w:r>
      <w:r>
        <w:t>.</w:t>
      </w:r>
      <w:r w:rsidR="005418BC">
        <w:t xml:space="preserve"> Kostja on oma Eesti filiaali kaudu kohtumääruse kätte saanud (dtl 1378).</w:t>
      </w:r>
    </w:p>
    <w:p w14:paraId="24A01431" w14:textId="79CF37E9" w:rsidR="00BC2FB3" w:rsidRDefault="00BC2FB3" w:rsidP="00F40B5A">
      <w:pPr>
        <w:pStyle w:val="Loendilik"/>
        <w:ind w:left="360"/>
      </w:pPr>
    </w:p>
    <w:p w14:paraId="5E48B40A" w14:textId="77777777" w:rsidR="00EF302B" w:rsidRDefault="00EF302B" w:rsidP="00F40B5A">
      <w:pPr>
        <w:pStyle w:val="Loendilik"/>
        <w:ind w:left="360"/>
      </w:pPr>
    </w:p>
    <w:p w14:paraId="1AA20691" w14:textId="77777777" w:rsidR="0061692B" w:rsidRPr="000D277B" w:rsidRDefault="0061692B" w:rsidP="004D02BB">
      <w:pPr>
        <w:rPr>
          <w:vertAlign w:val="superscript"/>
        </w:rPr>
      </w:pPr>
      <w:r w:rsidRPr="000D277B">
        <w:rPr>
          <w:b/>
        </w:rPr>
        <w:t>Koh</w:t>
      </w:r>
      <w:r w:rsidR="00321F69" w:rsidRPr="000D277B">
        <w:rPr>
          <w:b/>
        </w:rPr>
        <w:t>tu</w:t>
      </w:r>
      <w:r w:rsidR="00ED722F" w:rsidRPr="000D277B">
        <w:rPr>
          <w:b/>
        </w:rPr>
        <w:t>määruse</w:t>
      </w:r>
      <w:r w:rsidR="00321F69" w:rsidRPr="000D277B">
        <w:rPr>
          <w:b/>
        </w:rPr>
        <w:t xml:space="preserve"> põhjendused</w:t>
      </w:r>
    </w:p>
    <w:p w14:paraId="1AA20692" w14:textId="06AB6081" w:rsidR="008017E5" w:rsidRPr="00EB69F7" w:rsidRDefault="00526984" w:rsidP="00F40B5A">
      <w:pPr>
        <w:pStyle w:val="Loendilik"/>
        <w:numPr>
          <w:ilvl w:val="0"/>
          <w:numId w:val="20"/>
        </w:numPr>
        <w:ind w:left="360"/>
      </w:pPr>
      <w:r w:rsidRPr="00EB69F7">
        <w:t>Ts</w:t>
      </w:r>
      <w:r w:rsidR="00203B6C" w:rsidRPr="00EB69F7">
        <w:t>iviilkohtumenetluse seadustiku (</w:t>
      </w:r>
      <w:r w:rsidR="00237186" w:rsidRPr="00EB69F7">
        <w:t>TsMS</w:t>
      </w:r>
      <w:r w:rsidR="00203B6C" w:rsidRPr="00EB69F7">
        <w:t>)</w:t>
      </w:r>
      <w:r w:rsidR="00237186" w:rsidRPr="00EB69F7">
        <w:t xml:space="preserve"> </w:t>
      </w:r>
      <w:r w:rsidRPr="00EB69F7">
        <w:t>§ 377 lg 1 kohaselt võib kohus hageja taotlusel hagi tagada, kui on alust arvata, et tagamata jätmine võib raskendada kohtuotsuse täitmist või selle võimatuk</w:t>
      </w:r>
      <w:r w:rsidR="00FC33F5" w:rsidRPr="00EB69F7">
        <w:t xml:space="preserve">s teha. </w:t>
      </w:r>
      <w:r w:rsidR="00203B6C" w:rsidRPr="00EB69F7">
        <w:t>TsMS § 377 lg 2 sätestab, et sellise hagi tagamiseks, mille esemeks ei ole rahaline nõue kostja vastu, võib kohus hageja taotlusel esialgselt reguleerida vaidlusalust õigussuhet, eelkõige asja kasutusviisi, kui see on vajalik olulise kahju või omavoli vältimiseks või muul põhjusel. Seda võib teha sõltumata sellest, kas on alust arvata, et hagi tagamata jätmine võib raskendada kohtuotsuse täitmist või teha selle võimatuks.</w:t>
      </w:r>
      <w:r w:rsidR="004B7806" w:rsidRPr="00EB69F7">
        <w:t xml:space="preserve"> </w:t>
      </w:r>
      <w:r w:rsidR="00FC33F5" w:rsidRPr="00EB69F7">
        <w:t>TsMS § 378 lg 1</w:t>
      </w:r>
      <w:r w:rsidR="003F3229" w:rsidRPr="00EB69F7">
        <w:t xml:space="preserve"> p 3</w:t>
      </w:r>
      <w:r w:rsidR="00FC33F5" w:rsidRPr="00EB69F7">
        <w:t xml:space="preserve"> </w:t>
      </w:r>
      <w:r w:rsidRPr="00EB69F7">
        <w:t>järgi on hagi tagamise abinõuks</w:t>
      </w:r>
      <w:r w:rsidR="00863507" w:rsidRPr="00EB69F7">
        <w:t xml:space="preserve"> mh</w:t>
      </w:r>
      <w:r w:rsidRPr="00EB69F7">
        <w:t xml:space="preserve"> </w:t>
      </w:r>
      <w:r w:rsidR="003F3229" w:rsidRPr="00EB69F7">
        <w:t>kostjal teatud tehingute ja toimingute tegemise keelamine</w:t>
      </w:r>
      <w:r w:rsidRPr="00EB69F7">
        <w:t xml:space="preserve">. TsMS § 378 lg 4 kohaselt tuleb hagi tagava abinõu valikul arvestada, et kohaldav abinõu koormaks kostjat üksnes niivõrd, kuivõrd seda võib pidada hageja õigustatud huvisid ja asjaolusid arvestades põhjendatuks. </w:t>
      </w:r>
    </w:p>
    <w:p w14:paraId="1AA20694" w14:textId="39B2F17A" w:rsidR="003F3229" w:rsidRPr="00B21C9E" w:rsidRDefault="00C6194A" w:rsidP="00F40B5A">
      <w:pPr>
        <w:ind w:left="348"/>
      </w:pPr>
      <w:r w:rsidRPr="00B21C9E">
        <w:t>Kohus saab hagi tagada, kui esinevad TsMS §-s 377 sätestatud eeldused</w:t>
      </w:r>
      <w:r w:rsidR="005D5875">
        <w:t xml:space="preserve"> -</w:t>
      </w:r>
      <w:r w:rsidRPr="00B21C9E">
        <w:t xml:space="preserve"> hagi tagamise taotlus ja hagiavaldus vastavad seaduses sätestatud formaalsetele nõuetele, hagi on lubatav, õiguslikult perspektiivikas ning hageja on nõude aluseks olevad faktilised asjaolud ja hagi tagamise aluseks olevad asjaolud põhistanud</w:t>
      </w:r>
      <w:r w:rsidR="0093179C">
        <w:t>.</w:t>
      </w:r>
    </w:p>
    <w:p w14:paraId="40601F0A" w14:textId="4BDFA0D0" w:rsidR="0073111C" w:rsidRDefault="00C6194A" w:rsidP="00F40B5A">
      <w:pPr>
        <w:pStyle w:val="Loendilik"/>
        <w:numPr>
          <w:ilvl w:val="0"/>
          <w:numId w:val="20"/>
        </w:numPr>
        <w:ind w:left="360"/>
      </w:pPr>
      <w:r w:rsidRPr="00B21C9E">
        <w:t xml:space="preserve">Hageja </w:t>
      </w:r>
      <w:r w:rsidR="000B6FFC">
        <w:t xml:space="preserve">tugineb Eestis jõustatud Euroopa patendile </w:t>
      </w:r>
      <w:r w:rsidR="00505F9E" w:rsidRPr="00505F9E">
        <w:t>EP1845961 (EP961</w:t>
      </w:r>
      <w:r w:rsidR="00376FAC">
        <w:t xml:space="preserve">, dtl </w:t>
      </w:r>
      <w:r w:rsidR="00505F9E">
        <w:t>519</w:t>
      </w:r>
      <w:r w:rsidR="00C929D7" w:rsidRPr="00D523CB">
        <w:t>)</w:t>
      </w:r>
      <w:r w:rsidR="00376FAC">
        <w:t xml:space="preserve">.  </w:t>
      </w:r>
      <w:r w:rsidRPr="00B21C9E">
        <w:t xml:space="preserve">Patendiseaduse (PatS) § 15 lg 1 p 2 kohaselt seisneb patendiomaniku ainuõigus selles, et mitte keegi ei tohi patendi kehtivuse ajal patendiomaniku loata valmistada, kasutada, levitada, müüa või pakkuda müügiks patendiga kaitstud tooteid või omandada (sh. importides) neid tooteid eelnimetatud eesmärkidel. PatS § 53 lg 1 p 4 sätestab, et patendiomanik võib patendiga kaitstud leiutise õigusvastase kasutamise korral nõuda leiutise õigusvastase kasutamise lõpetamist ja edasisest rikkumisest hoidumist vastavalt võlaõigusseaduse </w:t>
      </w:r>
      <w:r w:rsidR="003D59F2">
        <w:t xml:space="preserve">(VÕS) </w:t>
      </w:r>
      <w:r w:rsidRPr="00B21C9E">
        <w:t>§-le 1055. Võlaõigusseaduse (VÕS) § 1055 lg 3 p 1 sätestab, et kui kahju õigusvastane tekitamine seisneb autoriõiguse, autoriõigusega kaasneva õiguse või tööstusomandiõiguse rikkumises, võib isik, kelle õigusi rikuti, nõuda rikkumisest hoidumist tulevikus rikkujalt ja isikult, kelle teenuseid kolmas isik kasutas õiguse rikkumise eesmärgil.</w:t>
      </w:r>
    </w:p>
    <w:p w14:paraId="3D31B800" w14:textId="376CB609" w:rsidR="0073111C" w:rsidRDefault="0073111C" w:rsidP="00F40B5A">
      <w:pPr>
        <w:pStyle w:val="Loendilik"/>
        <w:ind w:left="360"/>
      </w:pPr>
    </w:p>
    <w:p w14:paraId="27EDC70A" w14:textId="09E7FC5C" w:rsidR="00AA797F" w:rsidRDefault="00840069" w:rsidP="00C65978">
      <w:pPr>
        <w:pStyle w:val="Loendilik"/>
        <w:numPr>
          <w:ilvl w:val="0"/>
          <w:numId w:val="20"/>
        </w:numPr>
        <w:ind w:left="360"/>
      </w:pPr>
      <w:r>
        <w:t xml:space="preserve">Hageja faktiväidete õigsust eeldades on hagi perspektiivikas. Kostja ravim on </w:t>
      </w:r>
      <w:r w:rsidR="00403D52">
        <w:t>hõlmatud EP</w:t>
      </w:r>
      <w:r>
        <w:t>961</w:t>
      </w:r>
      <w:r w:rsidR="00403D52">
        <w:t xml:space="preserve"> kaitseesemega</w:t>
      </w:r>
      <w:r w:rsidR="00403D52" w:rsidRPr="00403D52">
        <w:t>.</w:t>
      </w:r>
      <w:r>
        <w:t xml:space="preserve"> Hageja loata ei tohi kostja oma ravimit Eestist turustada, vastupidine põhjustaks hagejale kahju ja oleks omavoli. </w:t>
      </w:r>
    </w:p>
    <w:p w14:paraId="5CC642F0" w14:textId="2C157D49" w:rsidR="00AA797F" w:rsidRDefault="007B03FD" w:rsidP="007B03FD">
      <w:pPr>
        <w:pStyle w:val="Loendilik"/>
        <w:tabs>
          <w:tab w:val="left" w:pos="4170"/>
        </w:tabs>
        <w:ind w:left="360"/>
      </w:pPr>
      <w:r>
        <w:tab/>
      </w:r>
    </w:p>
    <w:p w14:paraId="0722D228" w14:textId="266199EA" w:rsidR="00BB3344" w:rsidRDefault="00AD2AE9" w:rsidP="0034517B">
      <w:pPr>
        <w:pStyle w:val="Loendilik"/>
        <w:numPr>
          <w:ilvl w:val="0"/>
          <w:numId w:val="20"/>
        </w:numPr>
        <w:ind w:left="360"/>
      </w:pPr>
      <w:r>
        <w:t>Ü</w:t>
      </w:r>
      <w:r w:rsidR="00137EFB">
        <w:t xml:space="preserve">ldjuhul ei tohiks hagi tagamine tuua kaasa hagi rahuldamisega sarnast lõpptulemust, kuid ainuõiguse rikkumise ärahoidmiseks esitatud hagiga seotud õigussuhte esialgne reguleerimine hagi tagamise korras pole teisti mõeldav. </w:t>
      </w:r>
      <w:r w:rsidR="00D24289">
        <w:t>Kui hagi tagatakse, kuid jääb lõppastmes rahuldamata, on kostjal võimalik nõuda hagejalt tekitatud kahju hüvitamist</w:t>
      </w:r>
      <w:r>
        <w:t xml:space="preserve">. Pole mingit põhjust kahelda </w:t>
      </w:r>
      <w:r>
        <w:lastRenderedPageBreak/>
        <w:t xml:space="preserve">hageja </w:t>
      </w:r>
      <w:r w:rsidR="00E53102">
        <w:t xml:space="preserve">piisavas </w:t>
      </w:r>
      <w:r>
        <w:t xml:space="preserve">maksevõimes selle kohustuse täitmiseks. </w:t>
      </w:r>
      <w:r w:rsidR="00C41D8D">
        <w:t>Taotletud hagi tagamine ei ole seega kostja õigusi ebaproportsionaalselt kahjustav.</w:t>
      </w:r>
      <w:r w:rsidR="00AD2561">
        <w:t xml:space="preserve">  </w:t>
      </w:r>
      <w:r w:rsidR="0084326A">
        <w:t xml:space="preserve"> </w:t>
      </w:r>
      <w:r w:rsidR="002A1121">
        <w:t xml:space="preserve">   </w:t>
      </w:r>
    </w:p>
    <w:p w14:paraId="5DE50BF7" w14:textId="77777777" w:rsidR="00BB3344" w:rsidRDefault="00BB3344" w:rsidP="00F40B5A">
      <w:pPr>
        <w:pStyle w:val="Loendilik"/>
        <w:ind w:left="360"/>
      </w:pPr>
    </w:p>
    <w:p w14:paraId="3F858F3B" w14:textId="5B68C74D" w:rsidR="00BB3344" w:rsidRDefault="00BB3344" w:rsidP="00F20301">
      <w:pPr>
        <w:pStyle w:val="Loendilik"/>
        <w:ind w:left="360"/>
      </w:pPr>
      <w:r>
        <w:t>Hageja tasus hagi tagamise avalduselt tagatisraha summas 32 000 eurot (dtl 1</w:t>
      </w:r>
      <w:r w:rsidR="00AE228B">
        <w:t>357</w:t>
      </w:r>
      <w:r>
        <w:t>).</w:t>
      </w:r>
    </w:p>
    <w:p w14:paraId="50408E1D" w14:textId="77777777" w:rsidR="00E06279" w:rsidRDefault="00E06279" w:rsidP="00F40B5A">
      <w:pPr>
        <w:pStyle w:val="Loendilik"/>
        <w:ind w:left="360"/>
      </w:pPr>
    </w:p>
    <w:p w14:paraId="1AA2069A" w14:textId="73D0A598" w:rsidR="004C1F18" w:rsidRDefault="004C1F18" w:rsidP="00F40B5A">
      <w:pPr>
        <w:pStyle w:val="Loendilik"/>
        <w:numPr>
          <w:ilvl w:val="0"/>
          <w:numId w:val="20"/>
        </w:numPr>
        <w:ind w:left="360"/>
      </w:pPr>
      <w:r w:rsidRPr="00B21C9E">
        <w:t>Kohtu hinnangul on hageja piisavalt põhistanud hagi tagamise aluseks olevaid asjaolusid</w:t>
      </w:r>
      <w:r w:rsidR="000314AE" w:rsidRPr="00B21C9E">
        <w:t xml:space="preserve"> ja </w:t>
      </w:r>
      <w:r w:rsidR="00E06279">
        <w:t xml:space="preserve">õigussuhte esialgse reguleerimise </w:t>
      </w:r>
      <w:r w:rsidR="000314AE" w:rsidRPr="00B21C9E">
        <w:t>vajadust</w:t>
      </w:r>
      <w:r w:rsidRPr="00B21C9E">
        <w:t>.</w:t>
      </w:r>
      <w:r w:rsidR="00E06279">
        <w:t xml:space="preserve"> </w:t>
      </w:r>
      <w:r w:rsidRPr="00B21C9E">
        <w:t>Hageja taotletav abinõu - keelata kostjal kuni kohtulahendi jõustumiseni</w:t>
      </w:r>
      <w:r w:rsidR="00AD2AE9">
        <w:t xml:space="preserve">, </w:t>
      </w:r>
      <w:r w:rsidRPr="00B21C9E">
        <w:t xml:space="preserve">kuid mitte kauem kui </w:t>
      </w:r>
      <w:r w:rsidR="00AD2AE9">
        <w:t xml:space="preserve">patendiõiguse lõppemiseni </w:t>
      </w:r>
      <w:r w:rsidR="002313E8">
        <w:t>19</w:t>
      </w:r>
      <w:r w:rsidR="00AD2AE9">
        <w:t>.0</w:t>
      </w:r>
      <w:r w:rsidR="002313E8">
        <w:t>1</w:t>
      </w:r>
      <w:r w:rsidR="00AD2AE9">
        <w:t>.202</w:t>
      </w:r>
      <w:r w:rsidR="002313E8">
        <w:t>6</w:t>
      </w:r>
      <w:r w:rsidR="00AD2AE9">
        <w:t>,</w:t>
      </w:r>
      <w:r w:rsidRPr="00B21C9E">
        <w:t xml:space="preserve"> </w:t>
      </w:r>
      <w:r w:rsidR="00AD2AE9">
        <w:t xml:space="preserve">kostja </w:t>
      </w:r>
      <w:r w:rsidRPr="00B21C9E">
        <w:t xml:space="preserve">ravimi </w:t>
      </w:r>
      <w:r w:rsidR="00AD2AE9">
        <w:t xml:space="preserve">käitlemine Eestis </w:t>
      </w:r>
      <w:r w:rsidRPr="00B21C9E">
        <w:t>– on hageja õigustatud huvisid arvestades vajalik. Kohtu hinnangul ei esine kostjat vähem koormavaid abinõusid, mis kaitseks hageja huve samaväärselt.</w:t>
      </w:r>
    </w:p>
    <w:p w14:paraId="39732793" w14:textId="77777777" w:rsidR="002B6031" w:rsidRDefault="002B6031" w:rsidP="00F40B5A">
      <w:pPr>
        <w:pStyle w:val="Loendilik"/>
        <w:ind w:left="360"/>
      </w:pPr>
    </w:p>
    <w:p w14:paraId="1AA2069C" w14:textId="26EEFD2B" w:rsidR="004C1F18" w:rsidRPr="00B21C9E" w:rsidRDefault="004C1F18" w:rsidP="00F40B5A">
      <w:pPr>
        <w:pStyle w:val="Loendilik"/>
        <w:numPr>
          <w:ilvl w:val="0"/>
          <w:numId w:val="20"/>
        </w:numPr>
        <w:ind w:left="360"/>
      </w:pPr>
      <w:r w:rsidRPr="00B21C9E">
        <w:t>Eelnevast tulenevalt rahuldab kohus hagi tagamise avalduse.</w:t>
      </w:r>
    </w:p>
    <w:p w14:paraId="64AAE351" w14:textId="77777777" w:rsidR="002B6031" w:rsidRDefault="002B6031" w:rsidP="00F40B5A">
      <w:pPr>
        <w:pStyle w:val="Loendilik"/>
        <w:ind w:left="360"/>
      </w:pPr>
    </w:p>
    <w:p w14:paraId="1AA2069E" w14:textId="3FF2E794" w:rsidR="00A71984" w:rsidRPr="00B21C9E" w:rsidRDefault="00A71984" w:rsidP="00F40B5A">
      <w:pPr>
        <w:pStyle w:val="Loendilik"/>
        <w:numPr>
          <w:ilvl w:val="0"/>
          <w:numId w:val="20"/>
        </w:numPr>
        <w:ind w:left="360"/>
      </w:pPr>
      <w:r w:rsidRPr="00B21C9E">
        <w:t>Käesolev määrus on viivitamata täidetav (TsMS § 390 lg 2, § 467 lg 5).</w:t>
      </w:r>
    </w:p>
    <w:p w14:paraId="15C9970B" w14:textId="77777777" w:rsidR="00B21C9E" w:rsidRPr="004C1F18" w:rsidRDefault="00B21C9E" w:rsidP="00F40B5A">
      <w:pPr>
        <w:rPr>
          <w:i/>
        </w:rPr>
      </w:pPr>
    </w:p>
    <w:p w14:paraId="1AA206A2" w14:textId="15BA53A5" w:rsidR="006F1092" w:rsidRPr="00507C6A" w:rsidRDefault="00507C6A" w:rsidP="00A945D9">
      <w:r w:rsidRPr="00507C6A">
        <w:t>(a</w:t>
      </w:r>
      <w:r w:rsidR="00321AB4" w:rsidRPr="00507C6A">
        <w:t>llkirjastatud digitaalselt</w:t>
      </w:r>
      <w:r w:rsidRPr="00507C6A">
        <w:t>)</w:t>
      </w:r>
    </w:p>
    <w:p w14:paraId="14022130" w14:textId="77777777" w:rsidR="00507C6A" w:rsidRDefault="00507C6A" w:rsidP="00A945D9"/>
    <w:p w14:paraId="1AA206A3" w14:textId="2827A56D" w:rsidR="006F1092" w:rsidRPr="004C1F18" w:rsidRDefault="00D01571" w:rsidP="00A945D9">
      <w:r>
        <w:t>Ants Mailend</w:t>
      </w:r>
    </w:p>
    <w:p w14:paraId="1AA206A4" w14:textId="79C7E45F" w:rsidR="00A945D9" w:rsidRPr="004C2485" w:rsidRDefault="00D01571" w:rsidP="00A945D9">
      <w:r>
        <w:t>k</w:t>
      </w:r>
      <w:r w:rsidR="00A945D9" w:rsidRPr="004C1F18">
        <w:t>ohtunik</w:t>
      </w:r>
      <w:r w:rsidR="00AA5AED">
        <w:t xml:space="preserve"> </w:t>
      </w:r>
    </w:p>
    <w:sectPr w:rsidR="00A945D9" w:rsidRPr="004C2485" w:rsidSect="00F81941">
      <w:footerReference w:type="even" r:id="rId9"/>
      <w:footerReference w:type="default" r:id="rId10"/>
      <w:pgSz w:w="11906" w:h="16838"/>
      <w:pgMar w:top="1418" w:right="99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06A9" w14:textId="77777777" w:rsidR="00A92735" w:rsidRDefault="00A92735">
      <w:r>
        <w:separator/>
      </w:r>
    </w:p>
  </w:endnote>
  <w:endnote w:type="continuationSeparator" w:id="0">
    <w:p w14:paraId="1AA206AA" w14:textId="77777777" w:rsidR="00A92735" w:rsidRDefault="00A9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06AB" w14:textId="77777777" w:rsidR="008204E7" w:rsidRDefault="008204E7" w:rsidP="00607622">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AA206AC" w14:textId="77777777" w:rsidR="008204E7" w:rsidRDefault="008204E7" w:rsidP="00C17D1A">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06AD" w14:textId="77777777" w:rsidR="008204E7" w:rsidRDefault="008204E7" w:rsidP="00607622">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942D12">
      <w:rPr>
        <w:rStyle w:val="Lehekljenumber"/>
        <w:noProof/>
      </w:rPr>
      <w:t>2</w:t>
    </w:r>
    <w:r>
      <w:rPr>
        <w:rStyle w:val="Lehekljenumber"/>
      </w:rPr>
      <w:fldChar w:fldCharType="end"/>
    </w:r>
  </w:p>
  <w:p w14:paraId="1AA206AE" w14:textId="77777777" w:rsidR="008204E7" w:rsidRDefault="008204E7" w:rsidP="00C17D1A">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06A7" w14:textId="77777777" w:rsidR="00A92735" w:rsidRDefault="00A92735">
      <w:r>
        <w:separator/>
      </w:r>
    </w:p>
  </w:footnote>
  <w:footnote w:type="continuationSeparator" w:id="0">
    <w:p w14:paraId="1AA206A8" w14:textId="77777777" w:rsidR="00A92735" w:rsidRDefault="00A92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5B82077"/>
    <w:multiLevelType w:val="hybridMultilevel"/>
    <w:tmpl w:val="974CE3A2"/>
    <w:lvl w:ilvl="0" w:tplc="5B8457FA">
      <w:start w:val="1"/>
      <w:numFmt w:val="decimal"/>
      <w:pStyle w:val="NCnumbering"/>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A93A69"/>
    <w:multiLevelType w:val="multilevel"/>
    <w:tmpl w:val="1A3A8292"/>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rPr>
    </w:lvl>
    <w:lvl w:ilvl="2">
      <w:start w:val="1"/>
      <w:numFmt w:val="decimal"/>
      <w:pStyle w:val="3rdlevelsubprovision"/>
      <w:lvlText w:val="%1.%2.%3."/>
      <w:lvlJc w:val="left"/>
      <w:pPr>
        <w:tabs>
          <w:tab w:val="num" w:pos="1388"/>
        </w:tabs>
        <w:ind w:left="1388" w:hanging="367"/>
      </w:pPr>
      <w:rPr>
        <w:rFonts w:hint="default"/>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3" w15:restartNumberingAfterBreak="0">
    <w:nsid w:val="0E5C0930"/>
    <w:multiLevelType w:val="hybridMultilevel"/>
    <w:tmpl w:val="57549B30"/>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15022A13"/>
    <w:multiLevelType w:val="hybridMultilevel"/>
    <w:tmpl w:val="98F45DB2"/>
    <w:lvl w:ilvl="0" w:tplc="D6B2F8FC">
      <w:start w:val="1"/>
      <w:numFmt w:val="decimal"/>
      <w:lvlText w:val="%1."/>
      <w:lvlJc w:val="left"/>
      <w:pPr>
        <w:tabs>
          <w:tab w:val="num" w:pos="340"/>
        </w:tabs>
        <w:ind w:left="340" w:hanging="340"/>
      </w:pPr>
      <w:rPr>
        <w:rFonts w:hint="default"/>
        <w:b/>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 w15:restartNumberingAfterBreak="0">
    <w:nsid w:val="166978A1"/>
    <w:multiLevelType w:val="hybridMultilevel"/>
    <w:tmpl w:val="BEDC7C9C"/>
    <w:lvl w:ilvl="0" w:tplc="085C2688">
      <w:start w:val="1"/>
      <w:numFmt w:val="decimal"/>
      <w:lvlText w:val="%1."/>
      <w:lvlJc w:val="left"/>
      <w:pPr>
        <w:tabs>
          <w:tab w:val="num" w:pos="360"/>
        </w:tabs>
        <w:ind w:left="360" w:hanging="360"/>
      </w:pPr>
      <w:rPr>
        <w:rFonts w:hint="default"/>
        <w:b w:val="0"/>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178F03CA"/>
    <w:multiLevelType w:val="hybridMultilevel"/>
    <w:tmpl w:val="71040B28"/>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 w15:restartNumberingAfterBreak="0">
    <w:nsid w:val="26716719"/>
    <w:multiLevelType w:val="hybridMultilevel"/>
    <w:tmpl w:val="3752AC4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A46F96"/>
    <w:multiLevelType w:val="multilevel"/>
    <w:tmpl w:val="3CF25B0C"/>
    <w:lvl w:ilvl="0">
      <w:start w:val="1"/>
      <w:numFmt w:val="decimal"/>
      <w:pStyle w:val="Level1"/>
      <w:isLgl/>
      <w:lvlText w:val="%1"/>
      <w:lvlJc w:val="left"/>
      <w:pPr>
        <w:tabs>
          <w:tab w:val="num" w:pos="567"/>
        </w:tabs>
        <w:ind w:left="567" w:hanging="567"/>
      </w:pPr>
      <w:rPr>
        <w:rFonts w:ascii="Book Antiqua" w:hAnsi="Book Antiqua"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isLgl/>
      <w:lvlText w:val="%1.%2"/>
      <w:lvlJc w:val="left"/>
      <w:pPr>
        <w:tabs>
          <w:tab w:val="num" w:pos="567"/>
        </w:tabs>
        <w:ind w:left="567" w:hanging="567"/>
      </w:pPr>
      <w:rPr>
        <w:rFonts w:ascii="Book Antiqua" w:hAnsi="Book Antiqua"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isLgl/>
      <w:lvlText w:val="%1.%2.%3"/>
      <w:lvlJc w:val="left"/>
      <w:pPr>
        <w:tabs>
          <w:tab w:val="num" w:pos="1287"/>
        </w:tabs>
        <w:ind w:left="1287" w:hanging="720"/>
      </w:pPr>
      <w:rPr>
        <w:rFonts w:ascii="Book Antiqua" w:hAnsi="Book Antiqua"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2138"/>
        </w:tabs>
        <w:ind w:left="2138" w:hanging="851"/>
      </w:pPr>
      <w:rPr>
        <w:rFonts w:ascii="Book Antiqua" w:hAnsi="Book Antiqua"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101"/>
        </w:tabs>
        <w:ind w:left="3101" w:hanging="963"/>
      </w:pPr>
      <w:rPr>
        <w:rFonts w:ascii="Book Antiqua" w:hAnsi="Book Antiqua"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level6"/>
      <w:lvlText w:val="%1.%2.%3.%4.%5.%6"/>
      <w:lvlJc w:val="left"/>
      <w:pPr>
        <w:tabs>
          <w:tab w:val="num" w:pos="3686"/>
        </w:tabs>
        <w:ind w:left="3686" w:hanging="1134"/>
      </w:pPr>
      <w:rPr>
        <w:rFonts w:ascii="Book Antiqua" w:hAnsi="Book Antiqua" w:hint="default"/>
        <w:b w:val="0"/>
        <w:i w:val="0"/>
        <w:sz w:val="22"/>
        <w:szCs w:val="22"/>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 w15:restartNumberingAfterBreak="0">
    <w:nsid w:val="34850BF8"/>
    <w:multiLevelType w:val="hybridMultilevel"/>
    <w:tmpl w:val="A496B04A"/>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42027F65"/>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3D5822"/>
    <w:multiLevelType w:val="multilevel"/>
    <w:tmpl w:val="829C35B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F861EEF"/>
    <w:multiLevelType w:val="hybridMultilevel"/>
    <w:tmpl w:val="30BCF7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C1C66C1"/>
    <w:multiLevelType w:val="hybridMultilevel"/>
    <w:tmpl w:val="895C105C"/>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4" w15:restartNumberingAfterBreak="0">
    <w:nsid w:val="5E4973C7"/>
    <w:multiLevelType w:val="hybridMultilevel"/>
    <w:tmpl w:val="C0D8B458"/>
    <w:lvl w:ilvl="0" w:tplc="0425000F">
      <w:start w:val="1"/>
      <w:numFmt w:val="decimal"/>
      <w:lvlText w:val="%1."/>
      <w:lvlJc w:val="left"/>
      <w:pPr>
        <w:tabs>
          <w:tab w:val="num" w:pos="720"/>
        </w:tabs>
        <w:ind w:left="720" w:hanging="360"/>
      </w:pPr>
      <w:rPr>
        <w:rFonts w:hint="default"/>
      </w:rPr>
    </w:lvl>
    <w:lvl w:ilvl="1" w:tplc="04250001">
      <w:start w:val="1"/>
      <w:numFmt w:val="bullet"/>
      <w:lvlText w:val=""/>
      <w:lvlJc w:val="left"/>
      <w:pPr>
        <w:tabs>
          <w:tab w:val="num" w:pos="1440"/>
        </w:tabs>
        <w:ind w:left="1440" w:hanging="360"/>
      </w:pPr>
      <w:rPr>
        <w:rFonts w:ascii="Symbol" w:hAnsi="Symbol" w:hint="default"/>
      </w:rPr>
    </w:lvl>
    <w:lvl w:ilvl="2" w:tplc="2236C6AA">
      <w:start w:val="1"/>
      <w:numFmt w:val="bullet"/>
      <w:lvlText w:val="-"/>
      <w:lvlJc w:val="left"/>
      <w:pPr>
        <w:tabs>
          <w:tab w:val="num" w:pos="2340"/>
        </w:tabs>
        <w:ind w:left="2340" w:hanging="360"/>
      </w:pPr>
      <w:rPr>
        <w:rFonts w:ascii="Times New Roman" w:eastAsia="Times New Roman" w:hAnsi="Times New Roman" w:cs="Times New Roman" w:hint="default"/>
      </w:r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5" w15:restartNumberingAfterBreak="0">
    <w:nsid w:val="5EDD1198"/>
    <w:multiLevelType w:val="hybridMultilevel"/>
    <w:tmpl w:val="64465546"/>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6" w15:restartNumberingAfterBreak="0">
    <w:nsid w:val="650C4D0D"/>
    <w:multiLevelType w:val="hybridMultilevel"/>
    <w:tmpl w:val="810632FE"/>
    <w:lvl w:ilvl="0" w:tplc="0425000F">
      <w:start w:val="1"/>
      <w:numFmt w:val="decimal"/>
      <w:lvlText w:val="%1."/>
      <w:lvlJc w:val="left"/>
      <w:pPr>
        <w:tabs>
          <w:tab w:val="num" w:pos="360"/>
        </w:tabs>
        <w:ind w:left="360" w:hanging="360"/>
      </w:p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17" w15:restartNumberingAfterBreak="0">
    <w:nsid w:val="74257305"/>
    <w:multiLevelType w:val="multilevel"/>
    <w:tmpl w:val="F9AE2B28"/>
    <w:lvl w:ilvl="0">
      <w:start w:val="1"/>
      <w:numFmt w:val="upperRoman"/>
      <w:pStyle w:val="Pealkiri1"/>
      <w:lvlText w:val="%1"/>
      <w:lvlJc w:val="left"/>
      <w:pPr>
        <w:tabs>
          <w:tab w:val="num" w:pos="851"/>
        </w:tabs>
        <w:ind w:left="851" w:hanging="851"/>
      </w:pPr>
      <w:rPr>
        <w:rFonts w:cs="Times New Roman" w:hint="default"/>
      </w:rPr>
    </w:lvl>
    <w:lvl w:ilvl="1">
      <w:start w:val="1"/>
      <w:numFmt w:val="decimal"/>
      <w:pStyle w:val="Pealkiri2"/>
      <w:isLgl/>
      <w:lvlText w:val="%1.%2"/>
      <w:lvlJc w:val="left"/>
      <w:pPr>
        <w:tabs>
          <w:tab w:val="num" w:pos="851"/>
        </w:tabs>
        <w:ind w:left="851" w:hanging="851"/>
      </w:pPr>
      <w:rPr>
        <w:rFonts w:cs="Times New Roman" w:hint="default"/>
      </w:rPr>
    </w:lvl>
    <w:lvl w:ilvl="2">
      <w:start w:val="1"/>
      <w:numFmt w:val="decimal"/>
      <w:pStyle w:val="Pealkiri3"/>
      <w:isLg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75C41F1C"/>
    <w:multiLevelType w:val="hybridMultilevel"/>
    <w:tmpl w:val="57BE9946"/>
    <w:lvl w:ilvl="0" w:tplc="B608C704">
      <w:start w:val="1"/>
      <w:numFmt w:val="bullet"/>
      <w:lvlText w:val="-"/>
      <w:lvlJc w:val="left"/>
      <w:pPr>
        <w:tabs>
          <w:tab w:val="num" w:pos="1429"/>
        </w:tabs>
        <w:ind w:left="1429" w:hanging="360"/>
      </w:pPr>
      <w:rPr>
        <w:rFonts w:ascii="Book Antiqua" w:eastAsia="Times New Roman" w:hAnsi="Book Antiqua" w:cs="Times New Roman"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76543950"/>
    <w:multiLevelType w:val="hybridMultilevel"/>
    <w:tmpl w:val="8F7AB892"/>
    <w:lvl w:ilvl="0" w:tplc="B1741FCE">
      <w:start w:val="1"/>
      <w:numFmt w:val="bullet"/>
      <w:pStyle w:val="Bulletlist1"/>
      <w:lvlText w:val="·"/>
      <w:lvlJc w:val="left"/>
      <w:pPr>
        <w:tabs>
          <w:tab w:val="num" w:pos="357"/>
        </w:tabs>
        <w:ind w:left="357" w:hanging="357"/>
      </w:pPr>
      <w:rPr>
        <w:rFonts w:ascii="Symbol" w:hAnsi="Symbol" w:cs="Times New Roman" w:hint="default"/>
        <w:b w:val="0"/>
        <w:i w:val="0"/>
        <w:color w:val="000000"/>
        <w:sz w:val="22"/>
        <w:szCs w:val="22"/>
      </w:rPr>
    </w:lvl>
    <w:lvl w:ilvl="1" w:tplc="04250003">
      <w:start w:val="1"/>
      <w:numFmt w:val="bullet"/>
      <w:pStyle w:val="Bulletlist1"/>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16cid:durableId="1541283519">
    <w:abstractNumId w:val="9"/>
  </w:num>
  <w:num w:numId="2" w16cid:durableId="796872882">
    <w:abstractNumId w:val="15"/>
  </w:num>
  <w:num w:numId="3" w16cid:durableId="1472625819">
    <w:abstractNumId w:val="3"/>
  </w:num>
  <w:num w:numId="4" w16cid:durableId="1830629771">
    <w:abstractNumId w:val="1"/>
  </w:num>
  <w:num w:numId="5" w16cid:durableId="940139619">
    <w:abstractNumId w:val="16"/>
  </w:num>
  <w:num w:numId="6" w16cid:durableId="1663847337">
    <w:abstractNumId w:val="2"/>
  </w:num>
  <w:num w:numId="7" w16cid:durableId="503054338">
    <w:abstractNumId w:val="6"/>
  </w:num>
  <w:num w:numId="8" w16cid:durableId="1425492452">
    <w:abstractNumId w:val="5"/>
  </w:num>
  <w:num w:numId="9" w16cid:durableId="1623533539">
    <w:abstractNumId w:val="17"/>
  </w:num>
  <w:num w:numId="10" w16cid:durableId="1989018939">
    <w:abstractNumId w:val="13"/>
  </w:num>
  <w:num w:numId="11" w16cid:durableId="1075780660">
    <w:abstractNumId w:val="0"/>
  </w:num>
  <w:num w:numId="12" w16cid:durableId="506600220">
    <w:abstractNumId w:val="4"/>
  </w:num>
  <w:num w:numId="13" w16cid:durableId="24990422">
    <w:abstractNumId w:val="14"/>
  </w:num>
  <w:num w:numId="14" w16cid:durableId="527834505">
    <w:abstractNumId w:val="11"/>
  </w:num>
  <w:num w:numId="15" w16cid:durableId="2057897646">
    <w:abstractNumId w:val="7"/>
  </w:num>
  <w:num w:numId="16" w16cid:durableId="889262711">
    <w:abstractNumId w:val="18"/>
  </w:num>
  <w:num w:numId="17" w16cid:durableId="816141881">
    <w:abstractNumId w:val="8"/>
  </w:num>
  <w:num w:numId="18" w16cid:durableId="1536192573">
    <w:abstractNumId w:val="19"/>
  </w:num>
  <w:num w:numId="19" w16cid:durableId="1019891226">
    <w:abstractNumId w:val="10"/>
  </w:num>
  <w:num w:numId="20" w16cid:durableId="1351371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513"/>
    <w:rsid w:val="0000036E"/>
    <w:rsid w:val="00000774"/>
    <w:rsid w:val="0000290E"/>
    <w:rsid w:val="00006AC4"/>
    <w:rsid w:val="00012846"/>
    <w:rsid w:val="0001431F"/>
    <w:rsid w:val="000149D7"/>
    <w:rsid w:val="0001560F"/>
    <w:rsid w:val="0002423F"/>
    <w:rsid w:val="000314AE"/>
    <w:rsid w:val="00033C5F"/>
    <w:rsid w:val="00046D82"/>
    <w:rsid w:val="000573DD"/>
    <w:rsid w:val="00060228"/>
    <w:rsid w:val="000619F8"/>
    <w:rsid w:val="000622FA"/>
    <w:rsid w:val="00066EB7"/>
    <w:rsid w:val="00071C4D"/>
    <w:rsid w:val="000720B5"/>
    <w:rsid w:val="00073E45"/>
    <w:rsid w:val="00090A63"/>
    <w:rsid w:val="0009248A"/>
    <w:rsid w:val="00095408"/>
    <w:rsid w:val="00097BE7"/>
    <w:rsid w:val="000A27F5"/>
    <w:rsid w:val="000B0475"/>
    <w:rsid w:val="000B3705"/>
    <w:rsid w:val="000B4DC5"/>
    <w:rsid w:val="000B6FFC"/>
    <w:rsid w:val="000C5267"/>
    <w:rsid w:val="000C7BE0"/>
    <w:rsid w:val="000D1C9C"/>
    <w:rsid w:val="000D2273"/>
    <w:rsid w:val="000D277B"/>
    <w:rsid w:val="000D7661"/>
    <w:rsid w:val="000E74F5"/>
    <w:rsid w:val="000F3502"/>
    <w:rsid w:val="000F7B91"/>
    <w:rsid w:val="00100005"/>
    <w:rsid w:val="00101497"/>
    <w:rsid w:val="00102215"/>
    <w:rsid w:val="00103C88"/>
    <w:rsid w:val="00104252"/>
    <w:rsid w:val="00111188"/>
    <w:rsid w:val="00116E40"/>
    <w:rsid w:val="0011707C"/>
    <w:rsid w:val="001172C8"/>
    <w:rsid w:val="00121F2E"/>
    <w:rsid w:val="00122C84"/>
    <w:rsid w:val="00134968"/>
    <w:rsid w:val="00137EFB"/>
    <w:rsid w:val="00152501"/>
    <w:rsid w:val="00152BC1"/>
    <w:rsid w:val="00163F9A"/>
    <w:rsid w:val="001643BC"/>
    <w:rsid w:val="0016697B"/>
    <w:rsid w:val="00171926"/>
    <w:rsid w:val="00177993"/>
    <w:rsid w:val="00186D71"/>
    <w:rsid w:val="00193635"/>
    <w:rsid w:val="00197522"/>
    <w:rsid w:val="001A34F7"/>
    <w:rsid w:val="001A351A"/>
    <w:rsid w:val="001A4D13"/>
    <w:rsid w:val="001A5D75"/>
    <w:rsid w:val="001A6A4E"/>
    <w:rsid w:val="001B0A51"/>
    <w:rsid w:val="001B5E5F"/>
    <w:rsid w:val="001C0650"/>
    <w:rsid w:val="001C0CF3"/>
    <w:rsid w:val="001D1369"/>
    <w:rsid w:val="001E6F41"/>
    <w:rsid w:val="001F068A"/>
    <w:rsid w:val="001F6913"/>
    <w:rsid w:val="00203B6C"/>
    <w:rsid w:val="00204180"/>
    <w:rsid w:val="00207C2F"/>
    <w:rsid w:val="00213E44"/>
    <w:rsid w:val="00221993"/>
    <w:rsid w:val="0022788E"/>
    <w:rsid w:val="00231358"/>
    <w:rsid w:val="002313E8"/>
    <w:rsid w:val="0023369F"/>
    <w:rsid w:val="00234A36"/>
    <w:rsid w:val="0023674C"/>
    <w:rsid w:val="00237186"/>
    <w:rsid w:val="00237CFC"/>
    <w:rsid w:val="00240218"/>
    <w:rsid w:val="00241804"/>
    <w:rsid w:val="00241A88"/>
    <w:rsid w:val="002450A1"/>
    <w:rsid w:val="002450BB"/>
    <w:rsid w:val="0024580E"/>
    <w:rsid w:val="00251602"/>
    <w:rsid w:val="00260858"/>
    <w:rsid w:val="00260AE0"/>
    <w:rsid w:val="00262141"/>
    <w:rsid w:val="00265F82"/>
    <w:rsid w:val="0029040D"/>
    <w:rsid w:val="00291FFB"/>
    <w:rsid w:val="00292CF8"/>
    <w:rsid w:val="002A1121"/>
    <w:rsid w:val="002A226C"/>
    <w:rsid w:val="002B16FB"/>
    <w:rsid w:val="002B1BBB"/>
    <w:rsid w:val="002B283E"/>
    <w:rsid w:val="002B6031"/>
    <w:rsid w:val="002C509B"/>
    <w:rsid w:val="002C7C83"/>
    <w:rsid w:val="002D1044"/>
    <w:rsid w:val="002D7D9F"/>
    <w:rsid w:val="002E2939"/>
    <w:rsid w:val="002E2D80"/>
    <w:rsid w:val="002E3AD8"/>
    <w:rsid w:val="002E5297"/>
    <w:rsid w:val="002E5D12"/>
    <w:rsid w:val="002F3AB8"/>
    <w:rsid w:val="002F4C39"/>
    <w:rsid w:val="002F7A4D"/>
    <w:rsid w:val="00304389"/>
    <w:rsid w:val="00306961"/>
    <w:rsid w:val="00314BC8"/>
    <w:rsid w:val="003164C1"/>
    <w:rsid w:val="00321AB4"/>
    <w:rsid w:val="00321F69"/>
    <w:rsid w:val="00326481"/>
    <w:rsid w:val="003271E3"/>
    <w:rsid w:val="00332EAB"/>
    <w:rsid w:val="003364E1"/>
    <w:rsid w:val="00336FBB"/>
    <w:rsid w:val="00350691"/>
    <w:rsid w:val="003566B5"/>
    <w:rsid w:val="0035777F"/>
    <w:rsid w:val="00372B3A"/>
    <w:rsid w:val="003743B5"/>
    <w:rsid w:val="00376FAC"/>
    <w:rsid w:val="00382B8F"/>
    <w:rsid w:val="003A58AE"/>
    <w:rsid w:val="003C0300"/>
    <w:rsid w:val="003C144B"/>
    <w:rsid w:val="003C412F"/>
    <w:rsid w:val="003C667C"/>
    <w:rsid w:val="003C6C49"/>
    <w:rsid w:val="003D05F9"/>
    <w:rsid w:val="003D0CD5"/>
    <w:rsid w:val="003D1F8F"/>
    <w:rsid w:val="003D59F2"/>
    <w:rsid w:val="003D6243"/>
    <w:rsid w:val="003F2C25"/>
    <w:rsid w:val="003F3229"/>
    <w:rsid w:val="004012E7"/>
    <w:rsid w:val="00403D52"/>
    <w:rsid w:val="00403E81"/>
    <w:rsid w:val="00410406"/>
    <w:rsid w:val="00412843"/>
    <w:rsid w:val="004175A6"/>
    <w:rsid w:val="00423BC4"/>
    <w:rsid w:val="004274A1"/>
    <w:rsid w:val="00433FAB"/>
    <w:rsid w:val="00441D2C"/>
    <w:rsid w:val="00442BC9"/>
    <w:rsid w:val="00442EB8"/>
    <w:rsid w:val="0044708C"/>
    <w:rsid w:val="0045013D"/>
    <w:rsid w:val="0046289F"/>
    <w:rsid w:val="004628EE"/>
    <w:rsid w:val="00466A11"/>
    <w:rsid w:val="00472828"/>
    <w:rsid w:val="0048185E"/>
    <w:rsid w:val="004833DB"/>
    <w:rsid w:val="00490929"/>
    <w:rsid w:val="0049121E"/>
    <w:rsid w:val="00494DFC"/>
    <w:rsid w:val="004A1513"/>
    <w:rsid w:val="004A41B8"/>
    <w:rsid w:val="004A734A"/>
    <w:rsid w:val="004A7E23"/>
    <w:rsid w:val="004B0439"/>
    <w:rsid w:val="004B7806"/>
    <w:rsid w:val="004B782E"/>
    <w:rsid w:val="004C0442"/>
    <w:rsid w:val="004C1E65"/>
    <w:rsid w:val="004C1F18"/>
    <w:rsid w:val="004C2485"/>
    <w:rsid w:val="004C52B9"/>
    <w:rsid w:val="004D02BB"/>
    <w:rsid w:val="004D68FD"/>
    <w:rsid w:val="004E05E0"/>
    <w:rsid w:val="004F64B9"/>
    <w:rsid w:val="00505F9E"/>
    <w:rsid w:val="00506098"/>
    <w:rsid w:val="005064A5"/>
    <w:rsid w:val="0050673B"/>
    <w:rsid w:val="00507C6A"/>
    <w:rsid w:val="0051578A"/>
    <w:rsid w:val="005168F2"/>
    <w:rsid w:val="0051715A"/>
    <w:rsid w:val="00526984"/>
    <w:rsid w:val="00530574"/>
    <w:rsid w:val="00531DFD"/>
    <w:rsid w:val="00534DDE"/>
    <w:rsid w:val="00535139"/>
    <w:rsid w:val="005418BC"/>
    <w:rsid w:val="00544330"/>
    <w:rsid w:val="00556AA9"/>
    <w:rsid w:val="00562526"/>
    <w:rsid w:val="005631DA"/>
    <w:rsid w:val="00567E93"/>
    <w:rsid w:val="005711F7"/>
    <w:rsid w:val="00571556"/>
    <w:rsid w:val="005812D0"/>
    <w:rsid w:val="00583069"/>
    <w:rsid w:val="00583683"/>
    <w:rsid w:val="0058446C"/>
    <w:rsid w:val="00584FCC"/>
    <w:rsid w:val="005916B9"/>
    <w:rsid w:val="00592A28"/>
    <w:rsid w:val="00597C83"/>
    <w:rsid w:val="005A33F1"/>
    <w:rsid w:val="005A3C7D"/>
    <w:rsid w:val="005A3DEC"/>
    <w:rsid w:val="005B16E8"/>
    <w:rsid w:val="005B1C6D"/>
    <w:rsid w:val="005B1D7B"/>
    <w:rsid w:val="005C1DEA"/>
    <w:rsid w:val="005C2D52"/>
    <w:rsid w:val="005C742B"/>
    <w:rsid w:val="005D176B"/>
    <w:rsid w:val="005D3C2C"/>
    <w:rsid w:val="005D46E0"/>
    <w:rsid w:val="005D5875"/>
    <w:rsid w:val="005D65BD"/>
    <w:rsid w:val="005F2E7B"/>
    <w:rsid w:val="005F5A99"/>
    <w:rsid w:val="005F68B3"/>
    <w:rsid w:val="005F783C"/>
    <w:rsid w:val="005F7872"/>
    <w:rsid w:val="0060162B"/>
    <w:rsid w:val="0060686F"/>
    <w:rsid w:val="00607622"/>
    <w:rsid w:val="0061050A"/>
    <w:rsid w:val="006128C4"/>
    <w:rsid w:val="006138D8"/>
    <w:rsid w:val="006138DB"/>
    <w:rsid w:val="00613F9F"/>
    <w:rsid w:val="0061692B"/>
    <w:rsid w:val="006178FC"/>
    <w:rsid w:val="00621CD8"/>
    <w:rsid w:val="006243E8"/>
    <w:rsid w:val="006245B3"/>
    <w:rsid w:val="00626EFF"/>
    <w:rsid w:val="00627BEB"/>
    <w:rsid w:val="00633A4C"/>
    <w:rsid w:val="00636468"/>
    <w:rsid w:val="006367D3"/>
    <w:rsid w:val="00637BC1"/>
    <w:rsid w:val="006477CF"/>
    <w:rsid w:val="006606DD"/>
    <w:rsid w:val="00664F6F"/>
    <w:rsid w:val="0067141F"/>
    <w:rsid w:val="00674332"/>
    <w:rsid w:val="00677421"/>
    <w:rsid w:val="00681330"/>
    <w:rsid w:val="006903FE"/>
    <w:rsid w:val="006917F1"/>
    <w:rsid w:val="00691B01"/>
    <w:rsid w:val="006B7794"/>
    <w:rsid w:val="006C1602"/>
    <w:rsid w:val="006C2ABB"/>
    <w:rsid w:val="006C3831"/>
    <w:rsid w:val="006C4ED5"/>
    <w:rsid w:val="006C5E13"/>
    <w:rsid w:val="006C67D4"/>
    <w:rsid w:val="006C7F42"/>
    <w:rsid w:val="006D0E3D"/>
    <w:rsid w:val="006E023F"/>
    <w:rsid w:val="006E3526"/>
    <w:rsid w:val="006F1092"/>
    <w:rsid w:val="007005B4"/>
    <w:rsid w:val="00704E0A"/>
    <w:rsid w:val="00714DBA"/>
    <w:rsid w:val="00716C9A"/>
    <w:rsid w:val="00717472"/>
    <w:rsid w:val="00721104"/>
    <w:rsid w:val="00724589"/>
    <w:rsid w:val="00724741"/>
    <w:rsid w:val="00726F6E"/>
    <w:rsid w:val="0073111C"/>
    <w:rsid w:val="00732832"/>
    <w:rsid w:val="00734BD4"/>
    <w:rsid w:val="00737DD9"/>
    <w:rsid w:val="00746E48"/>
    <w:rsid w:val="0075149B"/>
    <w:rsid w:val="0077070C"/>
    <w:rsid w:val="00775D0D"/>
    <w:rsid w:val="00777059"/>
    <w:rsid w:val="00780493"/>
    <w:rsid w:val="00782C3A"/>
    <w:rsid w:val="00790D42"/>
    <w:rsid w:val="007976C3"/>
    <w:rsid w:val="007A7E03"/>
    <w:rsid w:val="007B03FD"/>
    <w:rsid w:val="007B2CAF"/>
    <w:rsid w:val="007B3344"/>
    <w:rsid w:val="007B7314"/>
    <w:rsid w:val="007C07EB"/>
    <w:rsid w:val="007C0F8D"/>
    <w:rsid w:val="007D0827"/>
    <w:rsid w:val="007D371A"/>
    <w:rsid w:val="007D38E8"/>
    <w:rsid w:val="007D4304"/>
    <w:rsid w:val="007D4E47"/>
    <w:rsid w:val="007D7C7B"/>
    <w:rsid w:val="007E5C18"/>
    <w:rsid w:val="008014C8"/>
    <w:rsid w:val="008017E5"/>
    <w:rsid w:val="008031BB"/>
    <w:rsid w:val="00805EC7"/>
    <w:rsid w:val="00807FC6"/>
    <w:rsid w:val="008117CD"/>
    <w:rsid w:val="008204E7"/>
    <w:rsid w:val="0083718A"/>
    <w:rsid w:val="00840069"/>
    <w:rsid w:val="0084326A"/>
    <w:rsid w:val="00845AB4"/>
    <w:rsid w:val="0086179E"/>
    <w:rsid w:val="00863507"/>
    <w:rsid w:val="00867D55"/>
    <w:rsid w:val="00873744"/>
    <w:rsid w:val="00873BAD"/>
    <w:rsid w:val="00876F8E"/>
    <w:rsid w:val="0087735B"/>
    <w:rsid w:val="00881354"/>
    <w:rsid w:val="00883EE3"/>
    <w:rsid w:val="00890A65"/>
    <w:rsid w:val="00892DEE"/>
    <w:rsid w:val="008950BB"/>
    <w:rsid w:val="00897146"/>
    <w:rsid w:val="008A1FC0"/>
    <w:rsid w:val="008A4FC2"/>
    <w:rsid w:val="008A69E9"/>
    <w:rsid w:val="008B3E29"/>
    <w:rsid w:val="008C167F"/>
    <w:rsid w:val="008C21BD"/>
    <w:rsid w:val="008C2BCB"/>
    <w:rsid w:val="008D2D20"/>
    <w:rsid w:val="008D7040"/>
    <w:rsid w:val="008D7518"/>
    <w:rsid w:val="008E22A7"/>
    <w:rsid w:val="008E3642"/>
    <w:rsid w:val="008E370E"/>
    <w:rsid w:val="008E56E0"/>
    <w:rsid w:val="008E5E66"/>
    <w:rsid w:val="008E7169"/>
    <w:rsid w:val="008F0D3B"/>
    <w:rsid w:val="008F27AA"/>
    <w:rsid w:val="008F5B18"/>
    <w:rsid w:val="009005F6"/>
    <w:rsid w:val="00904347"/>
    <w:rsid w:val="00905DF5"/>
    <w:rsid w:val="009211F2"/>
    <w:rsid w:val="0092599B"/>
    <w:rsid w:val="0093179C"/>
    <w:rsid w:val="00932D6B"/>
    <w:rsid w:val="00940027"/>
    <w:rsid w:val="00942D12"/>
    <w:rsid w:val="00946A04"/>
    <w:rsid w:val="00953D3C"/>
    <w:rsid w:val="009554F4"/>
    <w:rsid w:val="009555B3"/>
    <w:rsid w:val="00961247"/>
    <w:rsid w:val="009619A9"/>
    <w:rsid w:val="009665E6"/>
    <w:rsid w:val="0097187A"/>
    <w:rsid w:val="00971CA3"/>
    <w:rsid w:val="00971D43"/>
    <w:rsid w:val="00975CDE"/>
    <w:rsid w:val="00984053"/>
    <w:rsid w:val="00986080"/>
    <w:rsid w:val="0098664E"/>
    <w:rsid w:val="00986B2B"/>
    <w:rsid w:val="00993A2F"/>
    <w:rsid w:val="009A16E7"/>
    <w:rsid w:val="009A52DF"/>
    <w:rsid w:val="009A682E"/>
    <w:rsid w:val="009B3C86"/>
    <w:rsid w:val="009B5128"/>
    <w:rsid w:val="009B517D"/>
    <w:rsid w:val="009B6511"/>
    <w:rsid w:val="009B675C"/>
    <w:rsid w:val="009C3B8A"/>
    <w:rsid w:val="009C3CD7"/>
    <w:rsid w:val="009C75FA"/>
    <w:rsid w:val="009D3943"/>
    <w:rsid w:val="009E2722"/>
    <w:rsid w:val="009E44C4"/>
    <w:rsid w:val="009E5173"/>
    <w:rsid w:val="009E6CE5"/>
    <w:rsid w:val="009E76A1"/>
    <w:rsid w:val="009E7A25"/>
    <w:rsid w:val="009F0F81"/>
    <w:rsid w:val="009F3F87"/>
    <w:rsid w:val="009F48D3"/>
    <w:rsid w:val="009F6E75"/>
    <w:rsid w:val="00A03EA2"/>
    <w:rsid w:val="00A114DA"/>
    <w:rsid w:val="00A155D8"/>
    <w:rsid w:val="00A16777"/>
    <w:rsid w:val="00A2064B"/>
    <w:rsid w:val="00A27E21"/>
    <w:rsid w:val="00A34D42"/>
    <w:rsid w:val="00A426F5"/>
    <w:rsid w:val="00A42764"/>
    <w:rsid w:val="00A4433A"/>
    <w:rsid w:val="00A5080B"/>
    <w:rsid w:val="00A510E9"/>
    <w:rsid w:val="00A517FE"/>
    <w:rsid w:val="00A53F60"/>
    <w:rsid w:val="00A66804"/>
    <w:rsid w:val="00A669E2"/>
    <w:rsid w:val="00A71984"/>
    <w:rsid w:val="00A7660F"/>
    <w:rsid w:val="00A800F8"/>
    <w:rsid w:val="00A92735"/>
    <w:rsid w:val="00A931DF"/>
    <w:rsid w:val="00A945D9"/>
    <w:rsid w:val="00AA1B0E"/>
    <w:rsid w:val="00AA3564"/>
    <w:rsid w:val="00AA377B"/>
    <w:rsid w:val="00AA563D"/>
    <w:rsid w:val="00AA5AED"/>
    <w:rsid w:val="00AA797F"/>
    <w:rsid w:val="00AB6B72"/>
    <w:rsid w:val="00AC1870"/>
    <w:rsid w:val="00AC7B1E"/>
    <w:rsid w:val="00AD2561"/>
    <w:rsid w:val="00AD2AE9"/>
    <w:rsid w:val="00AE0468"/>
    <w:rsid w:val="00AE228B"/>
    <w:rsid w:val="00AF2836"/>
    <w:rsid w:val="00AF71DE"/>
    <w:rsid w:val="00B00161"/>
    <w:rsid w:val="00B05624"/>
    <w:rsid w:val="00B138A3"/>
    <w:rsid w:val="00B1495F"/>
    <w:rsid w:val="00B175CB"/>
    <w:rsid w:val="00B2154C"/>
    <w:rsid w:val="00B21C9E"/>
    <w:rsid w:val="00B30674"/>
    <w:rsid w:val="00B47A6D"/>
    <w:rsid w:val="00B513C4"/>
    <w:rsid w:val="00B5333B"/>
    <w:rsid w:val="00B6725F"/>
    <w:rsid w:val="00B73245"/>
    <w:rsid w:val="00B7469E"/>
    <w:rsid w:val="00B834A3"/>
    <w:rsid w:val="00B846DD"/>
    <w:rsid w:val="00B92D40"/>
    <w:rsid w:val="00B93322"/>
    <w:rsid w:val="00B94CB3"/>
    <w:rsid w:val="00BA71A8"/>
    <w:rsid w:val="00BB1215"/>
    <w:rsid w:val="00BB3344"/>
    <w:rsid w:val="00BB34EF"/>
    <w:rsid w:val="00BB4D18"/>
    <w:rsid w:val="00BC02B0"/>
    <w:rsid w:val="00BC1A07"/>
    <w:rsid w:val="00BC2ED1"/>
    <w:rsid w:val="00BC2FB3"/>
    <w:rsid w:val="00BD1F8A"/>
    <w:rsid w:val="00BD3039"/>
    <w:rsid w:val="00BD30A5"/>
    <w:rsid w:val="00BE132C"/>
    <w:rsid w:val="00BE1E10"/>
    <w:rsid w:val="00C00BAE"/>
    <w:rsid w:val="00C0383D"/>
    <w:rsid w:val="00C05923"/>
    <w:rsid w:val="00C1444C"/>
    <w:rsid w:val="00C17562"/>
    <w:rsid w:val="00C17D1A"/>
    <w:rsid w:val="00C200E5"/>
    <w:rsid w:val="00C21942"/>
    <w:rsid w:val="00C374EA"/>
    <w:rsid w:val="00C41BA1"/>
    <w:rsid w:val="00C41D8D"/>
    <w:rsid w:val="00C45764"/>
    <w:rsid w:val="00C469ED"/>
    <w:rsid w:val="00C6194A"/>
    <w:rsid w:val="00C63F08"/>
    <w:rsid w:val="00C71C44"/>
    <w:rsid w:val="00C74E87"/>
    <w:rsid w:val="00C80338"/>
    <w:rsid w:val="00C822AC"/>
    <w:rsid w:val="00C849BC"/>
    <w:rsid w:val="00C84B19"/>
    <w:rsid w:val="00C860EC"/>
    <w:rsid w:val="00C87E46"/>
    <w:rsid w:val="00C908EB"/>
    <w:rsid w:val="00C929D7"/>
    <w:rsid w:val="00C93A3E"/>
    <w:rsid w:val="00C95E10"/>
    <w:rsid w:val="00CA1AC4"/>
    <w:rsid w:val="00CA7390"/>
    <w:rsid w:val="00CB04B1"/>
    <w:rsid w:val="00CB0FF8"/>
    <w:rsid w:val="00CB374D"/>
    <w:rsid w:val="00CB4845"/>
    <w:rsid w:val="00CB5AAB"/>
    <w:rsid w:val="00CC03C0"/>
    <w:rsid w:val="00CC17A7"/>
    <w:rsid w:val="00CC17DA"/>
    <w:rsid w:val="00CC46D1"/>
    <w:rsid w:val="00CC63B3"/>
    <w:rsid w:val="00CC6FF0"/>
    <w:rsid w:val="00CD116C"/>
    <w:rsid w:val="00CD1658"/>
    <w:rsid w:val="00CD3C6E"/>
    <w:rsid w:val="00CE2F07"/>
    <w:rsid w:val="00CF5039"/>
    <w:rsid w:val="00CF605C"/>
    <w:rsid w:val="00CF67B6"/>
    <w:rsid w:val="00D01571"/>
    <w:rsid w:val="00D02B4D"/>
    <w:rsid w:val="00D05AAD"/>
    <w:rsid w:val="00D17B5E"/>
    <w:rsid w:val="00D22592"/>
    <w:rsid w:val="00D23154"/>
    <w:rsid w:val="00D24289"/>
    <w:rsid w:val="00D25130"/>
    <w:rsid w:val="00D34A6B"/>
    <w:rsid w:val="00D36261"/>
    <w:rsid w:val="00D37489"/>
    <w:rsid w:val="00D377E0"/>
    <w:rsid w:val="00D43D4A"/>
    <w:rsid w:val="00D523CB"/>
    <w:rsid w:val="00D5289B"/>
    <w:rsid w:val="00D552D5"/>
    <w:rsid w:val="00D5767B"/>
    <w:rsid w:val="00D6146C"/>
    <w:rsid w:val="00D61751"/>
    <w:rsid w:val="00D65F05"/>
    <w:rsid w:val="00D665CF"/>
    <w:rsid w:val="00D75956"/>
    <w:rsid w:val="00D81F65"/>
    <w:rsid w:val="00D851CA"/>
    <w:rsid w:val="00D9158C"/>
    <w:rsid w:val="00DA4853"/>
    <w:rsid w:val="00DA53FD"/>
    <w:rsid w:val="00DA777C"/>
    <w:rsid w:val="00DA7AD5"/>
    <w:rsid w:val="00DB1A3C"/>
    <w:rsid w:val="00DB6A89"/>
    <w:rsid w:val="00DB6B0A"/>
    <w:rsid w:val="00DC2C5B"/>
    <w:rsid w:val="00DC42F4"/>
    <w:rsid w:val="00DC66A6"/>
    <w:rsid w:val="00DD1ED1"/>
    <w:rsid w:val="00DD22D8"/>
    <w:rsid w:val="00DD5F5E"/>
    <w:rsid w:val="00DD6267"/>
    <w:rsid w:val="00DD79CE"/>
    <w:rsid w:val="00DE32B7"/>
    <w:rsid w:val="00DE4B28"/>
    <w:rsid w:val="00DE5F21"/>
    <w:rsid w:val="00DE7BF5"/>
    <w:rsid w:val="00DF7DAE"/>
    <w:rsid w:val="00E0480C"/>
    <w:rsid w:val="00E06279"/>
    <w:rsid w:val="00E07C51"/>
    <w:rsid w:val="00E13721"/>
    <w:rsid w:val="00E13B4B"/>
    <w:rsid w:val="00E21528"/>
    <w:rsid w:val="00E21917"/>
    <w:rsid w:val="00E24397"/>
    <w:rsid w:val="00E25EB7"/>
    <w:rsid w:val="00E26DD8"/>
    <w:rsid w:val="00E279E2"/>
    <w:rsid w:val="00E32A0C"/>
    <w:rsid w:val="00E345A1"/>
    <w:rsid w:val="00E46A91"/>
    <w:rsid w:val="00E47914"/>
    <w:rsid w:val="00E510E8"/>
    <w:rsid w:val="00E520E2"/>
    <w:rsid w:val="00E52CE6"/>
    <w:rsid w:val="00E53102"/>
    <w:rsid w:val="00E5475E"/>
    <w:rsid w:val="00E556A6"/>
    <w:rsid w:val="00E6014A"/>
    <w:rsid w:val="00E837CB"/>
    <w:rsid w:val="00E83BFC"/>
    <w:rsid w:val="00E925FC"/>
    <w:rsid w:val="00E933B2"/>
    <w:rsid w:val="00E93806"/>
    <w:rsid w:val="00E96A85"/>
    <w:rsid w:val="00E97950"/>
    <w:rsid w:val="00E979D2"/>
    <w:rsid w:val="00EA1A6F"/>
    <w:rsid w:val="00EA1D4F"/>
    <w:rsid w:val="00EA27C5"/>
    <w:rsid w:val="00EB69F7"/>
    <w:rsid w:val="00EC108A"/>
    <w:rsid w:val="00EC2B31"/>
    <w:rsid w:val="00ED30FD"/>
    <w:rsid w:val="00ED722F"/>
    <w:rsid w:val="00EE523E"/>
    <w:rsid w:val="00EE5A39"/>
    <w:rsid w:val="00EE7F37"/>
    <w:rsid w:val="00EF293F"/>
    <w:rsid w:val="00EF302B"/>
    <w:rsid w:val="00EF4530"/>
    <w:rsid w:val="00EF772F"/>
    <w:rsid w:val="00F005CD"/>
    <w:rsid w:val="00F01E8C"/>
    <w:rsid w:val="00F11307"/>
    <w:rsid w:val="00F12B75"/>
    <w:rsid w:val="00F20301"/>
    <w:rsid w:val="00F22769"/>
    <w:rsid w:val="00F261FD"/>
    <w:rsid w:val="00F27221"/>
    <w:rsid w:val="00F32DCF"/>
    <w:rsid w:val="00F333AE"/>
    <w:rsid w:val="00F34031"/>
    <w:rsid w:val="00F34B13"/>
    <w:rsid w:val="00F40381"/>
    <w:rsid w:val="00F40B5A"/>
    <w:rsid w:val="00F456BA"/>
    <w:rsid w:val="00F47AA0"/>
    <w:rsid w:val="00F52B96"/>
    <w:rsid w:val="00F55D8B"/>
    <w:rsid w:val="00F60EE0"/>
    <w:rsid w:val="00F67287"/>
    <w:rsid w:val="00F723D4"/>
    <w:rsid w:val="00F80B71"/>
    <w:rsid w:val="00F81941"/>
    <w:rsid w:val="00F94088"/>
    <w:rsid w:val="00FB4D32"/>
    <w:rsid w:val="00FB6916"/>
    <w:rsid w:val="00FC33F5"/>
    <w:rsid w:val="00FC62BD"/>
    <w:rsid w:val="00FD02A8"/>
    <w:rsid w:val="00FE0446"/>
    <w:rsid w:val="00FF6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20642"/>
  <w15:chartTrackingRefBased/>
  <w15:docId w15:val="{78C20684-270F-4752-878D-F5671C0D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DD79CE"/>
    <w:pPr>
      <w:spacing w:before="120" w:after="120"/>
      <w:jc w:val="both"/>
    </w:pPr>
    <w:rPr>
      <w:sz w:val="24"/>
      <w:szCs w:val="24"/>
    </w:rPr>
  </w:style>
  <w:style w:type="paragraph" w:styleId="Pealkiri1">
    <w:name w:val="heading 1"/>
    <w:basedOn w:val="Normaallaad"/>
    <w:next w:val="Pealkiri2"/>
    <w:qFormat/>
    <w:rsid w:val="00D05AAD"/>
    <w:pPr>
      <w:keepNext/>
      <w:numPr>
        <w:numId w:val="9"/>
      </w:numPr>
      <w:tabs>
        <w:tab w:val="left" w:pos="1701"/>
        <w:tab w:val="left" w:pos="2552"/>
        <w:tab w:val="left" w:pos="3402"/>
        <w:tab w:val="left" w:pos="4253"/>
      </w:tabs>
      <w:spacing w:after="240"/>
      <w:outlineLvl w:val="0"/>
    </w:pPr>
    <w:rPr>
      <w:rFonts w:ascii="Garamond" w:hAnsi="Garamond" w:cs="Arial"/>
      <w:b/>
      <w:bCs/>
      <w:smallCaps/>
      <w:kern w:val="32"/>
      <w:szCs w:val="32"/>
      <w:lang w:eastAsia="en-US"/>
    </w:rPr>
  </w:style>
  <w:style w:type="paragraph" w:styleId="Pealkiri2">
    <w:name w:val="heading 2"/>
    <w:basedOn w:val="Normaallaad"/>
    <w:qFormat/>
    <w:rsid w:val="00D05AAD"/>
    <w:pPr>
      <w:numPr>
        <w:ilvl w:val="1"/>
        <w:numId w:val="9"/>
      </w:numPr>
      <w:tabs>
        <w:tab w:val="left" w:pos="1701"/>
        <w:tab w:val="left" w:pos="2552"/>
        <w:tab w:val="left" w:pos="3402"/>
        <w:tab w:val="left" w:pos="4253"/>
      </w:tabs>
      <w:outlineLvl w:val="1"/>
    </w:pPr>
    <w:rPr>
      <w:rFonts w:ascii="Garamond" w:hAnsi="Garamond" w:cs="Arial"/>
      <w:bCs/>
      <w:iCs/>
      <w:szCs w:val="28"/>
      <w:lang w:eastAsia="en-US"/>
    </w:rPr>
  </w:style>
  <w:style w:type="paragraph" w:styleId="Pealkiri3">
    <w:name w:val="heading 3"/>
    <w:basedOn w:val="Normaallaad"/>
    <w:qFormat/>
    <w:rsid w:val="00D05AAD"/>
    <w:pPr>
      <w:numPr>
        <w:ilvl w:val="2"/>
        <w:numId w:val="9"/>
      </w:numPr>
      <w:tabs>
        <w:tab w:val="left" w:pos="1701"/>
        <w:tab w:val="left" w:pos="2552"/>
        <w:tab w:val="left" w:pos="3402"/>
        <w:tab w:val="left" w:pos="4253"/>
      </w:tabs>
      <w:outlineLvl w:val="2"/>
    </w:pPr>
    <w:rPr>
      <w:rFonts w:ascii="Garamond" w:hAnsi="Garamond" w:cs="Arial"/>
      <w:bCs/>
      <w:szCs w:val="26"/>
      <w:lang w:eastAsia="en-US"/>
    </w:rPr>
  </w:style>
  <w:style w:type="paragraph" w:styleId="Pealkiri4">
    <w:name w:val="heading 4"/>
    <w:basedOn w:val="Normaallaad"/>
    <w:next w:val="Normaallaad"/>
    <w:qFormat/>
    <w:rsid w:val="00441D2C"/>
    <w:pPr>
      <w:keepNext/>
      <w:spacing w:before="240" w:after="60"/>
      <w:outlineLvl w:val="3"/>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61692B"/>
    <w:pPr>
      <w:tabs>
        <w:tab w:val="center" w:pos="4536"/>
        <w:tab w:val="right" w:pos="9072"/>
      </w:tabs>
    </w:pPr>
    <w:rPr>
      <w:szCs w:val="20"/>
      <w:lang w:val="en-GB" w:eastAsia="en-US"/>
    </w:rPr>
  </w:style>
  <w:style w:type="paragraph" w:styleId="Jalus">
    <w:name w:val="footer"/>
    <w:basedOn w:val="Normaallaad"/>
    <w:rsid w:val="0061692B"/>
    <w:pPr>
      <w:tabs>
        <w:tab w:val="center" w:pos="4536"/>
        <w:tab w:val="right" w:pos="9072"/>
      </w:tabs>
    </w:pPr>
    <w:rPr>
      <w:szCs w:val="20"/>
      <w:lang w:val="en-GB" w:eastAsia="en-US"/>
    </w:rPr>
  </w:style>
  <w:style w:type="character" w:styleId="Lehekljenumber">
    <w:name w:val="page number"/>
    <w:basedOn w:val="Liguvaikefont"/>
    <w:rsid w:val="0061692B"/>
  </w:style>
  <w:style w:type="paragraph" w:styleId="Pealkiri">
    <w:name w:val="Title"/>
    <w:basedOn w:val="Normaallaad"/>
    <w:qFormat/>
    <w:rsid w:val="00F60EE0"/>
    <w:pPr>
      <w:jc w:val="center"/>
    </w:pPr>
    <w:rPr>
      <w:b/>
      <w:sz w:val="36"/>
      <w:szCs w:val="20"/>
    </w:rPr>
  </w:style>
  <w:style w:type="paragraph" w:styleId="Jutumullitekst">
    <w:name w:val="Balloon Text"/>
    <w:basedOn w:val="Normaallaad"/>
    <w:semiHidden/>
    <w:rsid w:val="00F261FD"/>
    <w:rPr>
      <w:rFonts w:ascii="Tahoma" w:hAnsi="Tahoma" w:cs="Tahoma"/>
      <w:sz w:val="16"/>
      <w:szCs w:val="16"/>
    </w:rPr>
  </w:style>
  <w:style w:type="paragraph" w:customStyle="1" w:styleId="NCnumbering">
    <w:name w:val="NC numbering"/>
    <w:basedOn w:val="Normaallaad"/>
    <w:rsid w:val="006C3831"/>
    <w:pPr>
      <w:numPr>
        <w:numId w:val="4"/>
      </w:numPr>
      <w:overflowPunct w:val="0"/>
      <w:autoSpaceDE w:val="0"/>
      <w:autoSpaceDN w:val="0"/>
      <w:adjustRightInd w:val="0"/>
      <w:textAlignment w:val="baseline"/>
    </w:pPr>
    <w:rPr>
      <w:noProof/>
      <w:lang w:val="en-GB" w:eastAsia="en-US"/>
    </w:rPr>
  </w:style>
  <w:style w:type="paragraph" w:styleId="Allmrkusetekst">
    <w:name w:val="footnote text"/>
    <w:basedOn w:val="Normaallaad"/>
    <w:semiHidden/>
    <w:rsid w:val="006C3831"/>
    <w:pPr>
      <w:overflowPunct w:val="0"/>
      <w:autoSpaceDE w:val="0"/>
      <w:autoSpaceDN w:val="0"/>
      <w:adjustRightInd w:val="0"/>
      <w:textAlignment w:val="baseline"/>
    </w:pPr>
    <w:rPr>
      <w:noProof/>
      <w:sz w:val="20"/>
      <w:szCs w:val="20"/>
      <w:lang w:val="de-DE" w:eastAsia="en-US"/>
    </w:rPr>
  </w:style>
  <w:style w:type="character" w:styleId="Allmrkuseviide">
    <w:name w:val="footnote reference"/>
    <w:semiHidden/>
    <w:rsid w:val="006C3831"/>
    <w:rPr>
      <w:vertAlign w:val="superscript"/>
    </w:rPr>
  </w:style>
  <w:style w:type="paragraph" w:customStyle="1" w:styleId="1stlevelheading">
    <w:name w:val="1st level (heading)"/>
    <w:basedOn w:val="Normaallaad"/>
    <w:next w:val="2ndlevelprovision"/>
    <w:rsid w:val="00C908EB"/>
    <w:pPr>
      <w:keepNext/>
      <w:numPr>
        <w:numId w:val="6"/>
      </w:numPr>
      <w:tabs>
        <w:tab w:val="clear" w:pos="680"/>
        <w:tab w:val="num" w:pos="1080"/>
      </w:tabs>
      <w:overflowPunct w:val="0"/>
      <w:autoSpaceDE w:val="0"/>
      <w:autoSpaceDN w:val="0"/>
      <w:adjustRightInd w:val="0"/>
      <w:spacing w:before="360" w:after="240"/>
      <w:ind w:left="1080" w:hanging="1080"/>
      <w:textAlignment w:val="baseline"/>
    </w:pPr>
    <w:rPr>
      <w:b/>
      <w:caps/>
      <w:noProof/>
      <w:spacing w:val="26"/>
      <w:lang w:val="fi-FI" w:eastAsia="en-US"/>
    </w:rPr>
  </w:style>
  <w:style w:type="paragraph" w:customStyle="1" w:styleId="2ndlevelprovision">
    <w:name w:val="2nd level (provision)"/>
    <w:basedOn w:val="1stlevelheading"/>
    <w:rsid w:val="00C908EB"/>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C908EB"/>
    <w:pPr>
      <w:numPr>
        <w:ilvl w:val="2"/>
      </w:numPr>
      <w:tabs>
        <w:tab w:val="clear" w:pos="1388"/>
        <w:tab w:val="num" w:pos="1080"/>
      </w:tabs>
      <w:ind w:left="1080" w:hanging="1080"/>
    </w:pPr>
  </w:style>
  <w:style w:type="paragraph" w:customStyle="1" w:styleId="4thlevellist">
    <w:name w:val="4th level (list)"/>
    <w:basedOn w:val="3rdlevelsubprovision"/>
    <w:rsid w:val="00C908EB"/>
    <w:pPr>
      <w:numPr>
        <w:ilvl w:val="3"/>
      </w:numPr>
      <w:tabs>
        <w:tab w:val="clear" w:pos="2093"/>
        <w:tab w:val="num" w:pos="1620"/>
      </w:tabs>
      <w:ind w:left="1620" w:hanging="540"/>
    </w:pPr>
  </w:style>
  <w:style w:type="paragraph" w:customStyle="1" w:styleId="SLONormal">
    <w:name w:val="SLO Normal"/>
    <w:link w:val="SLONormalChar"/>
    <w:rsid w:val="00C908EB"/>
    <w:pPr>
      <w:overflowPunct w:val="0"/>
      <w:autoSpaceDE w:val="0"/>
      <w:autoSpaceDN w:val="0"/>
      <w:adjustRightInd w:val="0"/>
      <w:spacing w:before="120" w:after="120"/>
      <w:jc w:val="both"/>
      <w:textAlignment w:val="baseline"/>
    </w:pPr>
    <w:rPr>
      <w:noProof/>
      <w:sz w:val="24"/>
      <w:szCs w:val="24"/>
      <w:lang w:val="en-GB" w:eastAsia="en-US"/>
    </w:rPr>
  </w:style>
  <w:style w:type="paragraph" w:customStyle="1" w:styleId="5thlevel">
    <w:name w:val="5th level"/>
    <w:basedOn w:val="4thlevellist"/>
    <w:rsid w:val="00C908EB"/>
    <w:pPr>
      <w:numPr>
        <w:ilvl w:val="4"/>
      </w:numPr>
      <w:tabs>
        <w:tab w:val="left" w:pos="2160"/>
      </w:tabs>
      <w:ind w:left="2160" w:hanging="540"/>
    </w:pPr>
  </w:style>
  <w:style w:type="character" w:customStyle="1" w:styleId="SLONormalChar">
    <w:name w:val="SLO Normal Char"/>
    <w:link w:val="SLONormal"/>
    <w:rsid w:val="00C908EB"/>
    <w:rPr>
      <w:noProof/>
      <w:sz w:val="24"/>
      <w:szCs w:val="24"/>
      <w:lang w:val="en-GB" w:eastAsia="en-US" w:bidi="ar-SA"/>
    </w:rPr>
  </w:style>
  <w:style w:type="paragraph" w:styleId="Normaallaadveeb">
    <w:name w:val="Normal (Web)"/>
    <w:basedOn w:val="Normaallaad"/>
    <w:rsid w:val="009C3B8A"/>
    <w:pPr>
      <w:spacing w:before="100" w:beforeAutospacing="1" w:after="100" w:afterAutospacing="1"/>
    </w:pPr>
    <w:rPr>
      <w:color w:val="000000"/>
    </w:rPr>
  </w:style>
  <w:style w:type="character" w:customStyle="1" w:styleId="h1">
    <w:name w:val="h1"/>
    <w:basedOn w:val="Liguvaikefont"/>
    <w:rsid w:val="00C374EA"/>
  </w:style>
  <w:style w:type="character" w:styleId="Tugev">
    <w:name w:val="Strong"/>
    <w:qFormat/>
    <w:rsid w:val="00621CD8"/>
    <w:rPr>
      <w:b/>
      <w:bCs/>
    </w:rPr>
  </w:style>
  <w:style w:type="paragraph" w:styleId="Kehatekst">
    <w:name w:val="Body Text"/>
    <w:basedOn w:val="Normaallaad"/>
    <w:rsid w:val="00441D2C"/>
    <w:rPr>
      <w:lang w:eastAsia="en-US"/>
    </w:rPr>
  </w:style>
  <w:style w:type="paragraph" w:customStyle="1" w:styleId="Level1">
    <w:name w:val="Level 1"/>
    <w:basedOn w:val="Normaallaad"/>
    <w:autoRedefine/>
    <w:qFormat/>
    <w:rsid w:val="00441D2C"/>
    <w:pPr>
      <w:numPr>
        <w:numId w:val="17"/>
      </w:numPr>
      <w:autoSpaceDE w:val="0"/>
      <w:autoSpaceDN w:val="0"/>
      <w:adjustRightInd w:val="0"/>
      <w:outlineLvl w:val="0"/>
    </w:pPr>
    <w:rPr>
      <w:rFonts w:ascii="Book Antiqua" w:hAnsi="Book Antiqua" w:cs="Arial"/>
      <w:b/>
      <w:kern w:val="20"/>
      <w:sz w:val="22"/>
      <w:szCs w:val="22"/>
      <w:lang w:eastAsia="en-US"/>
    </w:rPr>
  </w:style>
  <w:style w:type="paragraph" w:customStyle="1" w:styleId="Level2">
    <w:name w:val="Level 2"/>
    <w:basedOn w:val="Normaallaad"/>
    <w:link w:val="Level2Char"/>
    <w:rsid w:val="00441D2C"/>
    <w:pPr>
      <w:numPr>
        <w:ilvl w:val="1"/>
        <w:numId w:val="17"/>
      </w:numPr>
      <w:autoSpaceDE w:val="0"/>
      <w:autoSpaceDN w:val="0"/>
      <w:adjustRightInd w:val="0"/>
      <w:outlineLvl w:val="1"/>
    </w:pPr>
    <w:rPr>
      <w:rFonts w:ascii="Book Antiqua" w:hAnsi="Book Antiqua" w:cs="Arial"/>
      <w:kern w:val="20"/>
      <w:sz w:val="22"/>
      <w:szCs w:val="22"/>
      <w:lang w:eastAsia="en-US"/>
    </w:rPr>
  </w:style>
  <w:style w:type="paragraph" w:customStyle="1" w:styleId="Level3">
    <w:name w:val="Level 3"/>
    <w:basedOn w:val="Normaallaad"/>
    <w:rsid w:val="00441D2C"/>
    <w:pPr>
      <w:numPr>
        <w:ilvl w:val="2"/>
        <w:numId w:val="17"/>
      </w:numPr>
      <w:autoSpaceDE w:val="0"/>
      <w:autoSpaceDN w:val="0"/>
      <w:adjustRightInd w:val="0"/>
      <w:outlineLvl w:val="2"/>
    </w:pPr>
    <w:rPr>
      <w:rFonts w:ascii="Book Antiqua" w:hAnsi="Book Antiqua" w:cs="Arial"/>
      <w:kern w:val="20"/>
      <w:sz w:val="22"/>
      <w:szCs w:val="22"/>
      <w:lang w:eastAsia="en-US"/>
    </w:rPr>
  </w:style>
  <w:style w:type="paragraph" w:customStyle="1" w:styleId="Level4">
    <w:name w:val="Level 4"/>
    <w:basedOn w:val="Pealkiri4"/>
    <w:rsid w:val="00441D2C"/>
    <w:pPr>
      <w:keepNext w:val="0"/>
      <w:numPr>
        <w:ilvl w:val="3"/>
        <w:numId w:val="17"/>
      </w:numPr>
      <w:overflowPunct w:val="0"/>
      <w:autoSpaceDE w:val="0"/>
      <w:autoSpaceDN w:val="0"/>
      <w:adjustRightInd w:val="0"/>
      <w:spacing w:before="0" w:after="0"/>
      <w:contextualSpacing/>
      <w:textAlignment w:val="baseline"/>
    </w:pPr>
    <w:rPr>
      <w:rFonts w:ascii="Book Antiqua" w:hAnsi="Book Antiqua"/>
      <w:b w:val="0"/>
      <w:bCs w:val="0"/>
      <w:sz w:val="22"/>
      <w:szCs w:val="22"/>
      <w:lang w:eastAsia="en-US"/>
    </w:rPr>
  </w:style>
  <w:style w:type="paragraph" w:customStyle="1" w:styleId="level6">
    <w:name w:val="level 6"/>
    <w:basedOn w:val="Normaallaad"/>
    <w:rsid w:val="00441D2C"/>
    <w:pPr>
      <w:numPr>
        <w:ilvl w:val="5"/>
        <w:numId w:val="17"/>
      </w:numPr>
      <w:tabs>
        <w:tab w:val="left" w:pos="3969"/>
      </w:tabs>
    </w:pPr>
    <w:rPr>
      <w:rFonts w:ascii="Book Antiqua" w:hAnsi="Book Antiqua"/>
      <w:sz w:val="22"/>
      <w:szCs w:val="22"/>
      <w:lang w:eastAsia="en-US"/>
    </w:rPr>
  </w:style>
  <w:style w:type="paragraph" w:customStyle="1" w:styleId="Level5">
    <w:name w:val="Level 5"/>
    <w:basedOn w:val="Level4"/>
    <w:rsid w:val="00441D2C"/>
    <w:pPr>
      <w:numPr>
        <w:ilvl w:val="4"/>
      </w:numPr>
    </w:pPr>
  </w:style>
  <w:style w:type="paragraph" w:customStyle="1" w:styleId="Bulletlist1">
    <w:name w:val="Bullet list 1"/>
    <w:basedOn w:val="Normaallaad"/>
    <w:autoRedefine/>
    <w:rsid w:val="00DF7DAE"/>
    <w:pPr>
      <w:numPr>
        <w:ilvl w:val="1"/>
        <w:numId w:val="18"/>
      </w:numPr>
      <w:tabs>
        <w:tab w:val="clear" w:pos="1440"/>
        <w:tab w:val="num" w:pos="357"/>
      </w:tabs>
      <w:ind w:left="357" w:hanging="357"/>
    </w:pPr>
    <w:rPr>
      <w:rFonts w:ascii="Book Antiqua" w:hAnsi="Book Antiqua"/>
      <w:sz w:val="22"/>
      <w:szCs w:val="22"/>
      <w:lang w:eastAsia="en-US"/>
    </w:rPr>
  </w:style>
  <w:style w:type="character" w:customStyle="1" w:styleId="Level2Char">
    <w:name w:val="Level 2 Char"/>
    <w:link w:val="Level2"/>
    <w:rsid w:val="00DF7DAE"/>
    <w:rPr>
      <w:rFonts w:ascii="Book Antiqua" w:hAnsi="Book Antiqua" w:cs="Arial"/>
      <w:kern w:val="20"/>
      <w:sz w:val="22"/>
      <w:szCs w:val="22"/>
      <w:lang w:val="et-EE" w:eastAsia="en-US" w:bidi="ar-SA"/>
    </w:rPr>
  </w:style>
  <w:style w:type="character" w:styleId="Hperlink">
    <w:name w:val="Hyperlink"/>
    <w:rsid w:val="002F4C39"/>
    <w:rPr>
      <w:color w:val="0000FF"/>
      <w:u w:val="single"/>
    </w:rPr>
  </w:style>
  <w:style w:type="paragraph" w:styleId="Loendilik">
    <w:name w:val="List Paragraph"/>
    <w:basedOn w:val="Normaallaad"/>
    <w:uiPriority w:val="34"/>
    <w:qFormat/>
    <w:rsid w:val="00C0383D"/>
    <w:pPr>
      <w:ind w:left="720"/>
      <w:contextualSpacing/>
    </w:pPr>
  </w:style>
  <w:style w:type="character" w:styleId="Lahendamatamainimine">
    <w:name w:val="Unresolved Mention"/>
    <w:basedOn w:val="Liguvaikefont"/>
    <w:uiPriority w:val="99"/>
    <w:semiHidden/>
    <w:unhideWhenUsed/>
    <w:rsid w:val="00442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2919">
      <w:bodyDiv w:val="1"/>
      <w:marLeft w:val="0"/>
      <w:marRight w:val="0"/>
      <w:marTop w:val="0"/>
      <w:marBottom w:val="0"/>
      <w:divBdr>
        <w:top w:val="none" w:sz="0" w:space="0" w:color="auto"/>
        <w:left w:val="none" w:sz="0" w:space="0" w:color="auto"/>
        <w:bottom w:val="none" w:sz="0" w:space="0" w:color="auto"/>
        <w:right w:val="none" w:sz="0" w:space="0" w:color="auto"/>
      </w:divBdr>
      <w:divsChild>
        <w:div w:id="1074276952">
          <w:marLeft w:val="0"/>
          <w:marRight w:val="0"/>
          <w:marTop w:val="0"/>
          <w:marBottom w:val="0"/>
          <w:divBdr>
            <w:top w:val="none" w:sz="0" w:space="0" w:color="auto"/>
            <w:left w:val="none" w:sz="0" w:space="0" w:color="auto"/>
            <w:bottom w:val="none" w:sz="0" w:space="0" w:color="auto"/>
            <w:right w:val="none" w:sz="0" w:space="0" w:color="auto"/>
          </w:divBdr>
        </w:div>
        <w:div w:id="280956852">
          <w:marLeft w:val="0"/>
          <w:marRight w:val="0"/>
          <w:marTop w:val="0"/>
          <w:marBottom w:val="0"/>
          <w:divBdr>
            <w:top w:val="none" w:sz="0" w:space="0" w:color="auto"/>
            <w:left w:val="none" w:sz="0" w:space="0" w:color="auto"/>
            <w:bottom w:val="none" w:sz="0" w:space="0" w:color="auto"/>
            <w:right w:val="none" w:sz="0" w:space="0" w:color="auto"/>
          </w:divBdr>
        </w:div>
        <w:div w:id="61412469">
          <w:marLeft w:val="0"/>
          <w:marRight w:val="0"/>
          <w:marTop w:val="0"/>
          <w:marBottom w:val="0"/>
          <w:divBdr>
            <w:top w:val="none" w:sz="0" w:space="0" w:color="auto"/>
            <w:left w:val="none" w:sz="0" w:space="0" w:color="auto"/>
            <w:bottom w:val="none" w:sz="0" w:space="0" w:color="auto"/>
            <w:right w:val="none" w:sz="0" w:space="0" w:color="auto"/>
          </w:divBdr>
        </w:div>
        <w:div w:id="1464424999">
          <w:marLeft w:val="0"/>
          <w:marRight w:val="0"/>
          <w:marTop w:val="0"/>
          <w:marBottom w:val="0"/>
          <w:divBdr>
            <w:top w:val="none" w:sz="0" w:space="0" w:color="auto"/>
            <w:left w:val="none" w:sz="0" w:space="0" w:color="auto"/>
            <w:bottom w:val="none" w:sz="0" w:space="0" w:color="auto"/>
            <w:right w:val="none" w:sz="0" w:space="0" w:color="auto"/>
          </w:divBdr>
        </w:div>
        <w:div w:id="1066882284">
          <w:marLeft w:val="0"/>
          <w:marRight w:val="0"/>
          <w:marTop w:val="0"/>
          <w:marBottom w:val="0"/>
          <w:divBdr>
            <w:top w:val="none" w:sz="0" w:space="0" w:color="auto"/>
            <w:left w:val="none" w:sz="0" w:space="0" w:color="auto"/>
            <w:bottom w:val="none" w:sz="0" w:space="0" w:color="auto"/>
            <w:right w:val="none" w:sz="0" w:space="0" w:color="auto"/>
          </w:divBdr>
        </w:div>
        <w:div w:id="179855388">
          <w:marLeft w:val="0"/>
          <w:marRight w:val="0"/>
          <w:marTop w:val="0"/>
          <w:marBottom w:val="0"/>
          <w:divBdr>
            <w:top w:val="none" w:sz="0" w:space="0" w:color="auto"/>
            <w:left w:val="none" w:sz="0" w:space="0" w:color="auto"/>
            <w:bottom w:val="none" w:sz="0" w:space="0" w:color="auto"/>
            <w:right w:val="none" w:sz="0" w:space="0" w:color="auto"/>
          </w:divBdr>
        </w:div>
        <w:div w:id="1005203941">
          <w:marLeft w:val="0"/>
          <w:marRight w:val="0"/>
          <w:marTop w:val="0"/>
          <w:marBottom w:val="0"/>
          <w:divBdr>
            <w:top w:val="none" w:sz="0" w:space="0" w:color="auto"/>
            <w:left w:val="none" w:sz="0" w:space="0" w:color="auto"/>
            <w:bottom w:val="none" w:sz="0" w:space="0" w:color="auto"/>
            <w:right w:val="none" w:sz="0" w:space="0" w:color="auto"/>
          </w:divBdr>
        </w:div>
        <w:div w:id="955284430">
          <w:marLeft w:val="0"/>
          <w:marRight w:val="0"/>
          <w:marTop w:val="0"/>
          <w:marBottom w:val="0"/>
          <w:divBdr>
            <w:top w:val="none" w:sz="0" w:space="0" w:color="auto"/>
            <w:left w:val="none" w:sz="0" w:space="0" w:color="auto"/>
            <w:bottom w:val="none" w:sz="0" w:space="0" w:color="auto"/>
            <w:right w:val="none" w:sz="0" w:space="0" w:color="auto"/>
          </w:divBdr>
        </w:div>
        <w:div w:id="734351410">
          <w:marLeft w:val="0"/>
          <w:marRight w:val="0"/>
          <w:marTop w:val="0"/>
          <w:marBottom w:val="0"/>
          <w:divBdr>
            <w:top w:val="none" w:sz="0" w:space="0" w:color="auto"/>
            <w:left w:val="none" w:sz="0" w:space="0" w:color="auto"/>
            <w:bottom w:val="none" w:sz="0" w:space="0" w:color="auto"/>
            <w:right w:val="none" w:sz="0" w:space="0" w:color="auto"/>
          </w:divBdr>
        </w:div>
        <w:div w:id="985820553">
          <w:marLeft w:val="0"/>
          <w:marRight w:val="0"/>
          <w:marTop w:val="0"/>
          <w:marBottom w:val="0"/>
          <w:divBdr>
            <w:top w:val="none" w:sz="0" w:space="0" w:color="auto"/>
            <w:left w:val="none" w:sz="0" w:space="0" w:color="auto"/>
            <w:bottom w:val="none" w:sz="0" w:space="0" w:color="auto"/>
            <w:right w:val="none" w:sz="0" w:space="0" w:color="auto"/>
          </w:divBdr>
        </w:div>
        <w:div w:id="1147086494">
          <w:marLeft w:val="0"/>
          <w:marRight w:val="0"/>
          <w:marTop w:val="0"/>
          <w:marBottom w:val="0"/>
          <w:divBdr>
            <w:top w:val="none" w:sz="0" w:space="0" w:color="auto"/>
            <w:left w:val="none" w:sz="0" w:space="0" w:color="auto"/>
            <w:bottom w:val="none" w:sz="0" w:space="0" w:color="auto"/>
            <w:right w:val="none" w:sz="0" w:space="0" w:color="auto"/>
          </w:divBdr>
        </w:div>
        <w:div w:id="419713854">
          <w:marLeft w:val="0"/>
          <w:marRight w:val="0"/>
          <w:marTop w:val="0"/>
          <w:marBottom w:val="0"/>
          <w:divBdr>
            <w:top w:val="none" w:sz="0" w:space="0" w:color="auto"/>
            <w:left w:val="none" w:sz="0" w:space="0" w:color="auto"/>
            <w:bottom w:val="none" w:sz="0" w:space="0" w:color="auto"/>
            <w:right w:val="none" w:sz="0" w:space="0" w:color="auto"/>
          </w:divBdr>
        </w:div>
        <w:div w:id="95640692">
          <w:marLeft w:val="0"/>
          <w:marRight w:val="0"/>
          <w:marTop w:val="0"/>
          <w:marBottom w:val="0"/>
          <w:divBdr>
            <w:top w:val="none" w:sz="0" w:space="0" w:color="auto"/>
            <w:left w:val="none" w:sz="0" w:space="0" w:color="auto"/>
            <w:bottom w:val="none" w:sz="0" w:space="0" w:color="auto"/>
            <w:right w:val="none" w:sz="0" w:space="0" w:color="auto"/>
          </w:divBdr>
        </w:div>
        <w:div w:id="2033728907">
          <w:marLeft w:val="0"/>
          <w:marRight w:val="0"/>
          <w:marTop w:val="0"/>
          <w:marBottom w:val="0"/>
          <w:divBdr>
            <w:top w:val="none" w:sz="0" w:space="0" w:color="auto"/>
            <w:left w:val="none" w:sz="0" w:space="0" w:color="auto"/>
            <w:bottom w:val="none" w:sz="0" w:space="0" w:color="auto"/>
            <w:right w:val="none" w:sz="0" w:space="0" w:color="auto"/>
          </w:divBdr>
        </w:div>
        <w:div w:id="211114759">
          <w:marLeft w:val="0"/>
          <w:marRight w:val="0"/>
          <w:marTop w:val="0"/>
          <w:marBottom w:val="0"/>
          <w:divBdr>
            <w:top w:val="none" w:sz="0" w:space="0" w:color="auto"/>
            <w:left w:val="none" w:sz="0" w:space="0" w:color="auto"/>
            <w:bottom w:val="none" w:sz="0" w:space="0" w:color="auto"/>
            <w:right w:val="none" w:sz="0" w:space="0" w:color="auto"/>
          </w:divBdr>
        </w:div>
      </w:divsChild>
    </w:div>
    <w:div w:id="1811824016">
      <w:bodyDiv w:val="1"/>
      <w:marLeft w:val="0"/>
      <w:marRight w:val="0"/>
      <w:marTop w:val="0"/>
      <w:marBottom w:val="0"/>
      <w:divBdr>
        <w:top w:val="none" w:sz="0" w:space="0" w:color="auto"/>
        <w:left w:val="none" w:sz="0" w:space="0" w:color="auto"/>
        <w:bottom w:val="none" w:sz="0" w:space="0" w:color="auto"/>
        <w:right w:val="none" w:sz="0" w:space="0" w:color="auto"/>
      </w:divBdr>
    </w:div>
    <w:div w:id="212044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B9A2C-5546-4D6A-86E1-15DB4092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1237</Words>
  <Characters>8429</Characters>
  <Application>Microsoft Office Word</Application>
  <DocSecurity>0</DocSecurity>
  <Lines>70</Lines>
  <Paragraphs>19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2/25-23337/05</vt:lpstr>
      <vt:lpstr>2/25-23337/05</vt:lpstr>
    </vt:vector>
  </TitlesOfParts>
  <Company>Justiitsministeerium</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2/25-23337/05</dc:title>
  <dc:subject/>
  <dc:creator>Kadi Kark</dc:creator>
  <cp:keywords/>
  <dc:description/>
  <cp:lastModifiedBy>Ants Mailend</cp:lastModifiedBy>
  <cp:revision>31</cp:revision>
  <cp:lastPrinted>2023-03-03T11:55:00Z</cp:lastPrinted>
  <dcterms:created xsi:type="dcterms:W3CDTF">2024-04-08T07:28:00Z</dcterms:created>
  <dcterms:modified xsi:type="dcterms:W3CDTF">2024-04-08T08:42:00Z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-250592789</vt:i4>
  </property>
  <property fmtid="{D5CDD505-2E9C-101B-9397-08002B2CF9AE}" pid="3" name="_EmailSubject">
    <vt:lpwstr>Eesti riik vs Trostin 10-549 hagi tagamine (konto arest)</vt:lpwstr>
  </property>
  <property fmtid="{D5CDD505-2E9C-101B-9397-08002B2CF9AE}" pid="4" name="_AuthorEmail">
    <vt:lpwstr>Viivi.Villemson@kohus.ee</vt:lpwstr>
  </property>
  <property fmtid="{D5CDD505-2E9C-101B-9397-08002B2CF9AE}" pid="5" name="_AuthorEmailDisplayName">
    <vt:lpwstr>Viivi Villemson</vt:lpwstr>
  </property>
  <property fmtid="{D5CDD505-2E9C-101B-9397-08002B2CF9AE}" pid="6" name="_PreviousAdHocReviewCycleID">
    <vt:i4>-6467203</vt:i4>
  </property>
  <property fmtid="{D5CDD505-2E9C-101B-9397-08002B2CF9AE}" pid="7" name="_ReviewingToolsShownOnce">
    <vt:lpwstr/>
  </property>
</Properties>
</file>